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BC7C9" w14:textId="4DA0E5BC" w:rsidR="005F68D6" w:rsidRDefault="005F68D6" w:rsidP="005F68D6">
      <w:pPr>
        <w:pStyle w:val="Legenda"/>
        <w:jc w:val="both"/>
        <w:rPr>
          <w:b w:val="0"/>
        </w:rPr>
      </w:pPr>
      <w:r>
        <w:rPr>
          <w:bCs w:val="0"/>
          <w:sz w:val="24"/>
          <w:szCs w:val="24"/>
          <w:lang w:val="pl-PL"/>
        </w:rPr>
        <w:t>Informacja o osiągniętych przez Gminę Sosnowiec p</w:t>
      </w:r>
      <w:r w:rsidRPr="00D018ED">
        <w:rPr>
          <w:bCs w:val="0"/>
          <w:sz w:val="24"/>
          <w:szCs w:val="24"/>
        </w:rPr>
        <w:t>ozio</w:t>
      </w:r>
      <w:r w:rsidRPr="00D018ED">
        <w:rPr>
          <w:bCs w:val="0"/>
          <w:sz w:val="24"/>
          <w:szCs w:val="24"/>
          <w:lang w:val="pl-PL"/>
        </w:rPr>
        <w:t>m</w:t>
      </w:r>
      <w:r>
        <w:rPr>
          <w:bCs w:val="0"/>
          <w:sz w:val="24"/>
          <w:szCs w:val="24"/>
          <w:lang w:val="pl-PL"/>
        </w:rPr>
        <w:t>ach</w:t>
      </w:r>
      <w:r w:rsidRPr="00D018ED">
        <w:rPr>
          <w:bCs w:val="0"/>
          <w:sz w:val="24"/>
          <w:szCs w:val="24"/>
          <w:lang w:val="pl-PL"/>
        </w:rPr>
        <w:t xml:space="preserve"> </w:t>
      </w:r>
      <w:r w:rsidRPr="00D018ED">
        <w:rPr>
          <w:bCs w:val="0"/>
          <w:sz w:val="24"/>
          <w:szCs w:val="24"/>
        </w:rPr>
        <w:t>przygotowania do</w:t>
      </w:r>
      <w:r w:rsidR="00E36BC3">
        <w:rPr>
          <w:bCs w:val="0"/>
          <w:sz w:val="24"/>
          <w:szCs w:val="24"/>
          <w:lang w:val="pl-PL"/>
        </w:rPr>
        <w:t> </w:t>
      </w:r>
      <w:r w:rsidRPr="00D018ED">
        <w:rPr>
          <w:bCs w:val="0"/>
          <w:sz w:val="24"/>
          <w:szCs w:val="24"/>
        </w:rPr>
        <w:t>ponownego użycia</w:t>
      </w:r>
      <w:r w:rsidRPr="00D018ED">
        <w:rPr>
          <w:bCs w:val="0"/>
          <w:sz w:val="24"/>
          <w:szCs w:val="24"/>
          <w:lang w:val="pl-PL"/>
        </w:rPr>
        <w:t xml:space="preserve"> i recyklingu odpadów komunalnych oraz</w:t>
      </w:r>
      <w:r w:rsidR="00E36BC3">
        <w:rPr>
          <w:bCs w:val="0"/>
          <w:sz w:val="24"/>
          <w:szCs w:val="24"/>
          <w:lang w:val="pl-PL"/>
        </w:rPr>
        <w:t xml:space="preserve"> </w:t>
      </w:r>
      <w:r w:rsidRPr="00D018ED">
        <w:rPr>
          <w:bCs w:val="0"/>
          <w:sz w:val="24"/>
          <w:szCs w:val="24"/>
          <w:lang w:val="pl-PL"/>
        </w:rPr>
        <w:t>ograniczenia masy odpadów komunalnych ulegających biodegradacji przekazywanych do</w:t>
      </w:r>
      <w:r w:rsidR="00E36BC3">
        <w:rPr>
          <w:bCs w:val="0"/>
          <w:sz w:val="24"/>
          <w:szCs w:val="24"/>
          <w:lang w:val="pl-PL"/>
        </w:rPr>
        <w:t xml:space="preserve"> </w:t>
      </w:r>
      <w:r w:rsidRPr="00D018ED">
        <w:rPr>
          <w:bCs w:val="0"/>
          <w:sz w:val="24"/>
          <w:szCs w:val="24"/>
          <w:lang w:val="pl-PL"/>
        </w:rPr>
        <w:t>składowania</w:t>
      </w:r>
    </w:p>
    <w:p w14:paraId="5B1D7AE2" w14:textId="71EC6DA7" w:rsidR="007A5DA8" w:rsidRDefault="007A5DA8" w:rsidP="005555D0">
      <w:pPr>
        <w:pStyle w:val="Legenda"/>
        <w:jc w:val="both"/>
        <w:rPr>
          <w:b w:val="0"/>
        </w:rPr>
      </w:pPr>
    </w:p>
    <w:p w14:paraId="16379349" w14:textId="6D1A157C" w:rsidR="005F68D6" w:rsidRDefault="005F68D6" w:rsidP="005F68D6">
      <w:pPr>
        <w:rPr>
          <w:lang w:val="x-none"/>
        </w:rPr>
      </w:pPr>
    </w:p>
    <w:p w14:paraId="1CB71835" w14:textId="77777777" w:rsidR="005F68D6" w:rsidRPr="005F68D6" w:rsidRDefault="005F68D6" w:rsidP="005F68D6">
      <w:pPr>
        <w:rPr>
          <w:lang w:val="x-none"/>
        </w:rPr>
      </w:pPr>
    </w:p>
    <w:tbl>
      <w:tblPr>
        <w:tblStyle w:val="Tabela-Siatka"/>
        <w:tblW w:w="0" w:type="auto"/>
        <w:tblLook w:val="04A0" w:firstRow="1" w:lastRow="0" w:firstColumn="1" w:lastColumn="0" w:noHBand="0" w:noVBand="1"/>
      </w:tblPr>
      <w:tblGrid>
        <w:gridCol w:w="1555"/>
        <w:gridCol w:w="3827"/>
        <w:gridCol w:w="3680"/>
      </w:tblGrid>
      <w:tr w:rsidR="00FD33EB" w14:paraId="4CAD863C" w14:textId="77777777" w:rsidTr="00FD33EB">
        <w:tc>
          <w:tcPr>
            <w:tcW w:w="9062" w:type="dxa"/>
            <w:gridSpan w:val="3"/>
            <w:shd w:val="clear" w:color="auto" w:fill="D9E2F3" w:themeFill="accent1" w:themeFillTint="33"/>
          </w:tcPr>
          <w:p w14:paraId="3A87DBF2" w14:textId="77777777" w:rsidR="00FD33EB" w:rsidRDefault="00FD33EB">
            <w:pPr>
              <w:rPr>
                <w:b/>
                <w:szCs w:val="20"/>
              </w:rPr>
            </w:pPr>
            <w:bookmarkStart w:id="0" w:name="_Hlk131068620"/>
            <w:r w:rsidRPr="004533A9">
              <w:rPr>
                <w:b/>
                <w:szCs w:val="20"/>
              </w:rPr>
              <w:t>Poziom przygotowania do ponownego użycia</w:t>
            </w:r>
            <w:r>
              <w:rPr>
                <w:b/>
                <w:szCs w:val="20"/>
              </w:rPr>
              <w:t xml:space="preserve"> i recyklingu odpadów komunalnych</w:t>
            </w:r>
            <w:r w:rsidRPr="004533A9">
              <w:rPr>
                <w:b/>
                <w:szCs w:val="20"/>
              </w:rPr>
              <w:t xml:space="preserve"> (%)</w:t>
            </w:r>
          </w:p>
          <w:p w14:paraId="75A4C1D9" w14:textId="164D9CDF" w:rsidR="00FD33EB" w:rsidRDefault="00FD33EB"/>
        </w:tc>
      </w:tr>
      <w:tr w:rsidR="00FD33EB" w14:paraId="18CF193A" w14:textId="77777777" w:rsidTr="00B90715">
        <w:tc>
          <w:tcPr>
            <w:tcW w:w="1555" w:type="dxa"/>
            <w:shd w:val="clear" w:color="auto" w:fill="D9E2F3" w:themeFill="accent1" w:themeFillTint="33"/>
          </w:tcPr>
          <w:p w14:paraId="380394EC" w14:textId="6A16374E" w:rsidR="00FD33EB" w:rsidRPr="00FD33EB" w:rsidRDefault="00FD33EB" w:rsidP="00FD33EB">
            <w:pPr>
              <w:jc w:val="center"/>
              <w:rPr>
                <w:b/>
                <w:bCs/>
              </w:rPr>
            </w:pPr>
            <w:r w:rsidRPr="00FD33EB">
              <w:rPr>
                <w:b/>
                <w:bCs/>
              </w:rPr>
              <w:t>ROK</w:t>
            </w:r>
          </w:p>
        </w:tc>
        <w:tc>
          <w:tcPr>
            <w:tcW w:w="3827" w:type="dxa"/>
            <w:shd w:val="clear" w:color="auto" w:fill="D9E2F3" w:themeFill="accent1" w:themeFillTint="33"/>
          </w:tcPr>
          <w:p w14:paraId="6186E927" w14:textId="77777777" w:rsidR="00FD33EB" w:rsidRDefault="00FD33EB" w:rsidP="00FD33EB">
            <w:pPr>
              <w:jc w:val="center"/>
              <w:rPr>
                <w:b/>
                <w:bCs/>
                <w:sz w:val="22"/>
              </w:rPr>
            </w:pPr>
            <w:r w:rsidRPr="00FD33EB">
              <w:rPr>
                <w:b/>
                <w:bCs/>
                <w:sz w:val="22"/>
              </w:rPr>
              <w:t>Wymagany poziom przygotowania do ponownego użycia i recyklingu</w:t>
            </w:r>
          </w:p>
          <w:p w14:paraId="7C74F580" w14:textId="3588F0B4" w:rsidR="00C46392" w:rsidRPr="00FD33EB" w:rsidRDefault="00C46392" w:rsidP="00FD33EB">
            <w:pPr>
              <w:jc w:val="center"/>
              <w:rPr>
                <w:b/>
                <w:bCs/>
              </w:rPr>
            </w:pPr>
          </w:p>
        </w:tc>
        <w:tc>
          <w:tcPr>
            <w:tcW w:w="3680" w:type="dxa"/>
            <w:shd w:val="clear" w:color="auto" w:fill="D9E2F3" w:themeFill="accent1" w:themeFillTint="33"/>
          </w:tcPr>
          <w:p w14:paraId="2DFB328D" w14:textId="7D0C8C77" w:rsidR="00FD33EB" w:rsidRPr="00FD33EB" w:rsidRDefault="00FD33EB" w:rsidP="00FD33EB">
            <w:pPr>
              <w:jc w:val="center"/>
              <w:rPr>
                <w:b/>
                <w:bCs/>
              </w:rPr>
            </w:pPr>
            <w:r w:rsidRPr="00FD33EB">
              <w:rPr>
                <w:b/>
                <w:bCs/>
                <w:sz w:val="22"/>
              </w:rPr>
              <w:t>Poziom osiągnięty przez Gminę Sosnowiec</w:t>
            </w:r>
          </w:p>
        </w:tc>
      </w:tr>
      <w:tr w:rsidR="00FD33EB" w14:paraId="4C161475" w14:textId="77777777" w:rsidTr="00B90715">
        <w:tc>
          <w:tcPr>
            <w:tcW w:w="1555" w:type="dxa"/>
          </w:tcPr>
          <w:p w14:paraId="5C077CEB" w14:textId="6EA910B9" w:rsidR="00FD33EB" w:rsidRDefault="00FD33EB" w:rsidP="005555D0">
            <w:pPr>
              <w:jc w:val="center"/>
            </w:pPr>
            <w:r>
              <w:t>2012</w:t>
            </w:r>
          </w:p>
        </w:tc>
        <w:tc>
          <w:tcPr>
            <w:tcW w:w="3827" w:type="dxa"/>
          </w:tcPr>
          <w:p w14:paraId="26501BB7" w14:textId="727472EE" w:rsidR="00FD33EB" w:rsidRDefault="00FD33EB" w:rsidP="005555D0">
            <w:pPr>
              <w:jc w:val="center"/>
            </w:pPr>
            <w:r>
              <w:t>10</w:t>
            </w:r>
          </w:p>
        </w:tc>
        <w:tc>
          <w:tcPr>
            <w:tcW w:w="3680" w:type="dxa"/>
          </w:tcPr>
          <w:p w14:paraId="6A43F4E0" w14:textId="696D1281" w:rsidR="00FD33EB" w:rsidRDefault="005555D0" w:rsidP="005555D0">
            <w:pPr>
              <w:jc w:val="center"/>
            </w:pPr>
            <w:r>
              <w:t>9,4</w:t>
            </w:r>
          </w:p>
        </w:tc>
      </w:tr>
      <w:tr w:rsidR="00FD33EB" w14:paraId="18D0BF95" w14:textId="77777777" w:rsidTr="00B90715">
        <w:tc>
          <w:tcPr>
            <w:tcW w:w="1555" w:type="dxa"/>
          </w:tcPr>
          <w:p w14:paraId="061BB99A" w14:textId="42CF2871" w:rsidR="00FD33EB" w:rsidRDefault="00FD33EB" w:rsidP="005555D0">
            <w:pPr>
              <w:jc w:val="center"/>
            </w:pPr>
            <w:r>
              <w:t>2013</w:t>
            </w:r>
          </w:p>
        </w:tc>
        <w:tc>
          <w:tcPr>
            <w:tcW w:w="3827" w:type="dxa"/>
          </w:tcPr>
          <w:p w14:paraId="70AC0E67" w14:textId="167CC88B" w:rsidR="00FD33EB" w:rsidRDefault="00FD33EB" w:rsidP="005555D0">
            <w:pPr>
              <w:jc w:val="center"/>
            </w:pPr>
            <w:r>
              <w:t>12</w:t>
            </w:r>
          </w:p>
        </w:tc>
        <w:tc>
          <w:tcPr>
            <w:tcW w:w="3680" w:type="dxa"/>
          </w:tcPr>
          <w:p w14:paraId="13B16DDF" w14:textId="3F9CBF52" w:rsidR="00FD33EB" w:rsidRDefault="005555D0" w:rsidP="005555D0">
            <w:pPr>
              <w:jc w:val="center"/>
            </w:pPr>
            <w:r>
              <w:t>14,3</w:t>
            </w:r>
          </w:p>
        </w:tc>
      </w:tr>
      <w:tr w:rsidR="00FD33EB" w14:paraId="0E88429A" w14:textId="77777777" w:rsidTr="00B90715">
        <w:tc>
          <w:tcPr>
            <w:tcW w:w="1555" w:type="dxa"/>
          </w:tcPr>
          <w:p w14:paraId="1B527A1E" w14:textId="33C1BEA3" w:rsidR="00FD33EB" w:rsidRDefault="00FD33EB" w:rsidP="005555D0">
            <w:pPr>
              <w:jc w:val="center"/>
            </w:pPr>
            <w:r>
              <w:t>2014</w:t>
            </w:r>
          </w:p>
        </w:tc>
        <w:tc>
          <w:tcPr>
            <w:tcW w:w="3827" w:type="dxa"/>
          </w:tcPr>
          <w:p w14:paraId="46239336" w14:textId="7089AF70" w:rsidR="00FD33EB" w:rsidRDefault="00FD33EB" w:rsidP="005555D0">
            <w:pPr>
              <w:jc w:val="center"/>
            </w:pPr>
            <w:r>
              <w:t>14</w:t>
            </w:r>
          </w:p>
        </w:tc>
        <w:tc>
          <w:tcPr>
            <w:tcW w:w="3680" w:type="dxa"/>
          </w:tcPr>
          <w:p w14:paraId="5DD34EF0" w14:textId="526B9597" w:rsidR="00FD33EB" w:rsidRDefault="005555D0" w:rsidP="005555D0">
            <w:pPr>
              <w:jc w:val="center"/>
            </w:pPr>
            <w:r>
              <w:t>16,2</w:t>
            </w:r>
          </w:p>
        </w:tc>
      </w:tr>
      <w:tr w:rsidR="00FD33EB" w14:paraId="58C59434" w14:textId="77777777" w:rsidTr="00B90715">
        <w:tc>
          <w:tcPr>
            <w:tcW w:w="1555" w:type="dxa"/>
          </w:tcPr>
          <w:p w14:paraId="1C6FD9A0" w14:textId="6FBF7C75" w:rsidR="00FD33EB" w:rsidRDefault="00FD33EB" w:rsidP="005555D0">
            <w:pPr>
              <w:jc w:val="center"/>
            </w:pPr>
            <w:r>
              <w:t>2015</w:t>
            </w:r>
          </w:p>
        </w:tc>
        <w:tc>
          <w:tcPr>
            <w:tcW w:w="3827" w:type="dxa"/>
          </w:tcPr>
          <w:p w14:paraId="09FC9423" w14:textId="720E8CD9" w:rsidR="00FD33EB" w:rsidRDefault="00FD33EB" w:rsidP="005555D0">
            <w:pPr>
              <w:jc w:val="center"/>
            </w:pPr>
            <w:r>
              <w:t>16</w:t>
            </w:r>
          </w:p>
        </w:tc>
        <w:tc>
          <w:tcPr>
            <w:tcW w:w="3680" w:type="dxa"/>
          </w:tcPr>
          <w:p w14:paraId="39CBC15B" w14:textId="0442D14A" w:rsidR="00FD33EB" w:rsidRDefault="005555D0" w:rsidP="005555D0">
            <w:pPr>
              <w:jc w:val="center"/>
            </w:pPr>
            <w:r>
              <w:t>21,2</w:t>
            </w:r>
          </w:p>
        </w:tc>
      </w:tr>
      <w:tr w:rsidR="00FD33EB" w14:paraId="62928D6D" w14:textId="77777777" w:rsidTr="00B90715">
        <w:tc>
          <w:tcPr>
            <w:tcW w:w="1555" w:type="dxa"/>
          </w:tcPr>
          <w:p w14:paraId="2ED3680F" w14:textId="1C0C043F" w:rsidR="00FD33EB" w:rsidRDefault="00FD33EB" w:rsidP="005555D0">
            <w:pPr>
              <w:jc w:val="center"/>
            </w:pPr>
            <w:r>
              <w:t>2016</w:t>
            </w:r>
          </w:p>
        </w:tc>
        <w:tc>
          <w:tcPr>
            <w:tcW w:w="3827" w:type="dxa"/>
          </w:tcPr>
          <w:p w14:paraId="7F4BC0C4" w14:textId="7A17D3B5" w:rsidR="00FD33EB" w:rsidRDefault="00FD33EB" w:rsidP="005555D0">
            <w:pPr>
              <w:jc w:val="center"/>
            </w:pPr>
            <w:r>
              <w:t>18</w:t>
            </w:r>
          </w:p>
        </w:tc>
        <w:tc>
          <w:tcPr>
            <w:tcW w:w="3680" w:type="dxa"/>
          </w:tcPr>
          <w:p w14:paraId="182F1DAF" w14:textId="67F81E8D" w:rsidR="00FD33EB" w:rsidRDefault="005555D0" w:rsidP="005555D0">
            <w:pPr>
              <w:jc w:val="center"/>
            </w:pPr>
            <w:r>
              <w:t>20,4</w:t>
            </w:r>
          </w:p>
        </w:tc>
      </w:tr>
      <w:tr w:rsidR="00FD33EB" w14:paraId="1B8C6571" w14:textId="77777777" w:rsidTr="00B90715">
        <w:tc>
          <w:tcPr>
            <w:tcW w:w="1555" w:type="dxa"/>
          </w:tcPr>
          <w:p w14:paraId="2B487A0C" w14:textId="1E453DEA" w:rsidR="00FD33EB" w:rsidRDefault="00FD33EB" w:rsidP="005555D0">
            <w:pPr>
              <w:jc w:val="center"/>
            </w:pPr>
            <w:r>
              <w:t>2017</w:t>
            </w:r>
          </w:p>
        </w:tc>
        <w:tc>
          <w:tcPr>
            <w:tcW w:w="3827" w:type="dxa"/>
          </w:tcPr>
          <w:p w14:paraId="167EE3F8" w14:textId="4C7EA679" w:rsidR="00FD33EB" w:rsidRDefault="00FD33EB" w:rsidP="005555D0">
            <w:pPr>
              <w:jc w:val="center"/>
            </w:pPr>
            <w:r>
              <w:t>20</w:t>
            </w:r>
          </w:p>
        </w:tc>
        <w:tc>
          <w:tcPr>
            <w:tcW w:w="3680" w:type="dxa"/>
          </w:tcPr>
          <w:p w14:paraId="1CFC711F" w14:textId="101EC55A" w:rsidR="00FD33EB" w:rsidRDefault="005555D0" w:rsidP="005555D0">
            <w:pPr>
              <w:jc w:val="center"/>
            </w:pPr>
            <w:r>
              <w:t>25</w:t>
            </w:r>
          </w:p>
        </w:tc>
      </w:tr>
      <w:tr w:rsidR="00FD33EB" w14:paraId="4E81EB78" w14:textId="77777777" w:rsidTr="00B90715">
        <w:tc>
          <w:tcPr>
            <w:tcW w:w="1555" w:type="dxa"/>
          </w:tcPr>
          <w:p w14:paraId="741C55D9" w14:textId="7895989A" w:rsidR="00FD33EB" w:rsidRDefault="00FD33EB" w:rsidP="005555D0">
            <w:pPr>
              <w:jc w:val="center"/>
            </w:pPr>
            <w:r>
              <w:t>2018</w:t>
            </w:r>
          </w:p>
        </w:tc>
        <w:tc>
          <w:tcPr>
            <w:tcW w:w="3827" w:type="dxa"/>
          </w:tcPr>
          <w:p w14:paraId="7E164FB4" w14:textId="7AB25180" w:rsidR="00FD33EB" w:rsidRDefault="00FD33EB" w:rsidP="005555D0">
            <w:pPr>
              <w:jc w:val="center"/>
            </w:pPr>
            <w:r>
              <w:t>30</w:t>
            </w:r>
          </w:p>
        </w:tc>
        <w:tc>
          <w:tcPr>
            <w:tcW w:w="3680" w:type="dxa"/>
          </w:tcPr>
          <w:p w14:paraId="38FC9F8E" w14:textId="33C2F769" w:rsidR="00FD33EB" w:rsidRDefault="005555D0" w:rsidP="005555D0">
            <w:pPr>
              <w:jc w:val="center"/>
            </w:pPr>
            <w:r>
              <w:t>33</w:t>
            </w:r>
          </w:p>
        </w:tc>
      </w:tr>
      <w:tr w:rsidR="00FD33EB" w14:paraId="6676BB85" w14:textId="77777777" w:rsidTr="00B90715">
        <w:tc>
          <w:tcPr>
            <w:tcW w:w="1555" w:type="dxa"/>
          </w:tcPr>
          <w:p w14:paraId="69332F1C" w14:textId="5947FA2C" w:rsidR="00FD33EB" w:rsidRDefault="00FD33EB" w:rsidP="005555D0">
            <w:pPr>
              <w:jc w:val="center"/>
            </w:pPr>
            <w:r>
              <w:t>2019</w:t>
            </w:r>
          </w:p>
        </w:tc>
        <w:tc>
          <w:tcPr>
            <w:tcW w:w="3827" w:type="dxa"/>
          </w:tcPr>
          <w:p w14:paraId="6BA3412D" w14:textId="257B7129" w:rsidR="00FD33EB" w:rsidRDefault="00FD33EB" w:rsidP="005555D0">
            <w:pPr>
              <w:jc w:val="center"/>
            </w:pPr>
            <w:r>
              <w:t>40</w:t>
            </w:r>
          </w:p>
        </w:tc>
        <w:tc>
          <w:tcPr>
            <w:tcW w:w="3680" w:type="dxa"/>
          </w:tcPr>
          <w:p w14:paraId="71084CC9" w14:textId="37A20185" w:rsidR="00FD33EB" w:rsidRDefault="005555D0" w:rsidP="005555D0">
            <w:pPr>
              <w:jc w:val="center"/>
            </w:pPr>
            <w:r>
              <w:t>45,9</w:t>
            </w:r>
          </w:p>
        </w:tc>
      </w:tr>
      <w:tr w:rsidR="00FD33EB" w14:paraId="060C84BB" w14:textId="77777777" w:rsidTr="00B90715">
        <w:tc>
          <w:tcPr>
            <w:tcW w:w="1555" w:type="dxa"/>
          </w:tcPr>
          <w:p w14:paraId="7404CAEF" w14:textId="36DF1359" w:rsidR="00FD33EB" w:rsidRDefault="00FD33EB" w:rsidP="005555D0">
            <w:pPr>
              <w:jc w:val="center"/>
            </w:pPr>
            <w:r>
              <w:t>2020</w:t>
            </w:r>
          </w:p>
        </w:tc>
        <w:tc>
          <w:tcPr>
            <w:tcW w:w="3827" w:type="dxa"/>
          </w:tcPr>
          <w:p w14:paraId="76EA290F" w14:textId="1E088BEB" w:rsidR="00FD33EB" w:rsidRDefault="00FD33EB" w:rsidP="005555D0">
            <w:pPr>
              <w:jc w:val="center"/>
            </w:pPr>
            <w:r>
              <w:t>50</w:t>
            </w:r>
          </w:p>
        </w:tc>
        <w:tc>
          <w:tcPr>
            <w:tcW w:w="3680" w:type="dxa"/>
          </w:tcPr>
          <w:p w14:paraId="10361691" w14:textId="2CB3BFE2" w:rsidR="00FD33EB" w:rsidRDefault="005555D0" w:rsidP="005555D0">
            <w:pPr>
              <w:jc w:val="center"/>
            </w:pPr>
            <w:r>
              <w:t>41</w:t>
            </w:r>
          </w:p>
        </w:tc>
      </w:tr>
      <w:tr w:rsidR="00FD33EB" w14:paraId="75B29C68" w14:textId="77777777" w:rsidTr="00B90715">
        <w:tc>
          <w:tcPr>
            <w:tcW w:w="1555" w:type="dxa"/>
          </w:tcPr>
          <w:p w14:paraId="073EB026" w14:textId="7706243C" w:rsidR="00FD33EB" w:rsidRDefault="00FD33EB" w:rsidP="005555D0">
            <w:pPr>
              <w:jc w:val="center"/>
            </w:pPr>
            <w:r>
              <w:t>2021*</w:t>
            </w:r>
          </w:p>
        </w:tc>
        <w:tc>
          <w:tcPr>
            <w:tcW w:w="3827" w:type="dxa"/>
          </w:tcPr>
          <w:p w14:paraId="0AF85EE0" w14:textId="308B9CAB" w:rsidR="00FD33EB" w:rsidRDefault="00FD33EB" w:rsidP="005555D0">
            <w:pPr>
              <w:jc w:val="center"/>
            </w:pPr>
            <w:r>
              <w:t>20</w:t>
            </w:r>
          </w:p>
        </w:tc>
        <w:tc>
          <w:tcPr>
            <w:tcW w:w="3680" w:type="dxa"/>
          </w:tcPr>
          <w:p w14:paraId="755C6C45" w14:textId="62AC4CDB" w:rsidR="00FD33EB" w:rsidRDefault="005555D0" w:rsidP="005555D0">
            <w:pPr>
              <w:jc w:val="center"/>
            </w:pPr>
            <w:r>
              <w:t>31,22</w:t>
            </w:r>
          </w:p>
        </w:tc>
      </w:tr>
      <w:tr w:rsidR="00FD33EB" w14:paraId="557BF8BF" w14:textId="77777777" w:rsidTr="00B90715">
        <w:tc>
          <w:tcPr>
            <w:tcW w:w="1555" w:type="dxa"/>
            <w:shd w:val="clear" w:color="auto" w:fill="D9E2F3" w:themeFill="accent1" w:themeFillTint="33"/>
          </w:tcPr>
          <w:p w14:paraId="2DB8AA24" w14:textId="3DABD2B9" w:rsidR="00FD33EB" w:rsidRPr="00E33DE2" w:rsidRDefault="00FD33EB" w:rsidP="005555D0">
            <w:pPr>
              <w:jc w:val="center"/>
              <w:rPr>
                <w:b/>
                <w:bCs/>
              </w:rPr>
            </w:pPr>
            <w:r w:rsidRPr="00E33DE2">
              <w:rPr>
                <w:b/>
                <w:bCs/>
              </w:rPr>
              <w:t>2022</w:t>
            </w:r>
          </w:p>
        </w:tc>
        <w:tc>
          <w:tcPr>
            <w:tcW w:w="3827" w:type="dxa"/>
            <w:shd w:val="clear" w:color="auto" w:fill="D9E2F3" w:themeFill="accent1" w:themeFillTint="33"/>
          </w:tcPr>
          <w:p w14:paraId="2064020B" w14:textId="0BE5759E" w:rsidR="00FD33EB" w:rsidRPr="00E33DE2" w:rsidRDefault="00FD33EB" w:rsidP="005555D0">
            <w:pPr>
              <w:jc w:val="center"/>
              <w:rPr>
                <w:b/>
                <w:bCs/>
              </w:rPr>
            </w:pPr>
            <w:r w:rsidRPr="00E33DE2">
              <w:rPr>
                <w:b/>
                <w:bCs/>
              </w:rPr>
              <w:t>25</w:t>
            </w:r>
          </w:p>
        </w:tc>
        <w:tc>
          <w:tcPr>
            <w:tcW w:w="3680" w:type="dxa"/>
            <w:shd w:val="clear" w:color="auto" w:fill="D9E2F3" w:themeFill="accent1" w:themeFillTint="33"/>
          </w:tcPr>
          <w:p w14:paraId="37AF271B" w14:textId="61659303" w:rsidR="00FD33EB" w:rsidRPr="00E33DE2" w:rsidRDefault="005555D0" w:rsidP="005555D0">
            <w:pPr>
              <w:jc w:val="center"/>
              <w:rPr>
                <w:b/>
                <w:bCs/>
              </w:rPr>
            </w:pPr>
            <w:r w:rsidRPr="00E33DE2">
              <w:rPr>
                <w:b/>
                <w:bCs/>
              </w:rPr>
              <w:t>29,92</w:t>
            </w:r>
          </w:p>
        </w:tc>
      </w:tr>
    </w:tbl>
    <w:bookmarkEnd w:id="0"/>
    <w:p w14:paraId="363B1752" w14:textId="77777777" w:rsidR="005F68D6" w:rsidRPr="005F68D6" w:rsidRDefault="005F68D6" w:rsidP="005F68D6">
      <w:pPr>
        <w:jc w:val="both"/>
        <w:rPr>
          <w:rFonts w:eastAsia="Calibri" w:cs="Times New Roman"/>
          <w:sz w:val="20"/>
          <w:szCs w:val="20"/>
        </w:rPr>
      </w:pPr>
      <w:r w:rsidRPr="005F68D6">
        <w:rPr>
          <w:rFonts w:eastAsia="Calibri" w:cs="Times New Roman"/>
          <w:sz w:val="20"/>
          <w:szCs w:val="20"/>
        </w:rPr>
        <w:t>Źródło: opracowanie własne.</w:t>
      </w:r>
    </w:p>
    <w:p w14:paraId="13FA74D1" w14:textId="77777777" w:rsidR="005F68D6" w:rsidRPr="005F68D6" w:rsidRDefault="005F68D6" w:rsidP="005F68D6">
      <w:pPr>
        <w:jc w:val="both"/>
        <w:rPr>
          <w:rFonts w:eastAsia="Calibri" w:cs="Times New Roman"/>
          <w:sz w:val="20"/>
          <w:szCs w:val="20"/>
        </w:rPr>
      </w:pPr>
    </w:p>
    <w:p w14:paraId="0A60291B" w14:textId="77777777" w:rsidR="005F68D6" w:rsidRPr="005F68D6" w:rsidRDefault="005F68D6" w:rsidP="005F68D6">
      <w:pPr>
        <w:jc w:val="both"/>
        <w:rPr>
          <w:rFonts w:eastAsia="Calibri" w:cs="Times New Roman"/>
          <w:sz w:val="20"/>
          <w:szCs w:val="20"/>
        </w:rPr>
      </w:pPr>
      <w:r w:rsidRPr="005F68D6">
        <w:rPr>
          <w:rFonts w:eastAsia="Calibri" w:cs="Times New Roman"/>
          <w:sz w:val="20"/>
          <w:szCs w:val="20"/>
        </w:rPr>
        <w:t>*do obliczenia poziomu-począwszy od roku 2021 mają zastosowanie wytyczne Rozporządzenia Ministra Klimatu i Środowiska z dnia 3 sierpnia 2021 r. w sprawie sposobu obliczania poziomów przygotowania do ponownego życia i recyklingu odpadów komunalnych (Dz.U. z 2021 r., poz. 1530)</w:t>
      </w:r>
    </w:p>
    <w:p w14:paraId="314264D9" w14:textId="65AC9686" w:rsidR="00FD33EB" w:rsidRDefault="00FD33EB"/>
    <w:p w14:paraId="14FDEB59" w14:textId="6C3A831B" w:rsidR="00F801C2" w:rsidRDefault="00F801C2"/>
    <w:p w14:paraId="624EC20B" w14:textId="345D0C4B" w:rsidR="00F801C2" w:rsidRPr="00F801C2" w:rsidRDefault="00F801C2" w:rsidP="00F801C2">
      <w:pPr>
        <w:jc w:val="both"/>
        <w:rPr>
          <w:rFonts w:eastAsia="Calibri" w:cs="Times New Roman"/>
          <w:bCs/>
          <w:sz w:val="20"/>
          <w:szCs w:val="20"/>
        </w:rPr>
      </w:pPr>
    </w:p>
    <w:tbl>
      <w:tblPr>
        <w:tblStyle w:val="Tabela-Siatka"/>
        <w:tblW w:w="0" w:type="auto"/>
        <w:tblLook w:val="04A0" w:firstRow="1" w:lastRow="0" w:firstColumn="1" w:lastColumn="0" w:noHBand="0" w:noVBand="1"/>
      </w:tblPr>
      <w:tblGrid>
        <w:gridCol w:w="1555"/>
        <w:gridCol w:w="3827"/>
        <w:gridCol w:w="3680"/>
      </w:tblGrid>
      <w:tr w:rsidR="00F801C2" w14:paraId="09EF4CDA" w14:textId="77777777" w:rsidTr="00CC0130">
        <w:tc>
          <w:tcPr>
            <w:tcW w:w="9062" w:type="dxa"/>
            <w:gridSpan w:val="3"/>
            <w:shd w:val="clear" w:color="auto" w:fill="D9E2F3" w:themeFill="accent1" w:themeFillTint="33"/>
          </w:tcPr>
          <w:p w14:paraId="1F078126" w14:textId="6125764E" w:rsidR="00F801C2" w:rsidRDefault="005660EB" w:rsidP="005660EB">
            <w:pPr>
              <w:jc w:val="center"/>
              <w:rPr>
                <w:b/>
                <w:szCs w:val="20"/>
              </w:rPr>
            </w:pPr>
            <w:r w:rsidRPr="004533A9">
              <w:rPr>
                <w:b/>
                <w:szCs w:val="20"/>
              </w:rPr>
              <w:t>Poziom recyklingu</w:t>
            </w:r>
            <w:r w:rsidR="00C46392">
              <w:rPr>
                <w:b/>
                <w:szCs w:val="20"/>
              </w:rPr>
              <w:t xml:space="preserve">, </w:t>
            </w:r>
            <w:r w:rsidRPr="004533A9">
              <w:rPr>
                <w:b/>
                <w:szCs w:val="20"/>
              </w:rPr>
              <w:t>przygotowania do ponownego użycia i odzysku innymi metodami innych niż niebezpieczne odpadów budowlanych i rozbiórkowych (%)</w:t>
            </w:r>
          </w:p>
          <w:p w14:paraId="4A32623B" w14:textId="41CE3657" w:rsidR="005660EB" w:rsidRDefault="005660EB" w:rsidP="005660EB">
            <w:pPr>
              <w:jc w:val="center"/>
            </w:pPr>
          </w:p>
        </w:tc>
      </w:tr>
      <w:tr w:rsidR="00F801C2" w14:paraId="2AEB9799" w14:textId="77777777" w:rsidTr="00B90715">
        <w:tc>
          <w:tcPr>
            <w:tcW w:w="1555" w:type="dxa"/>
            <w:shd w:val="clear" w:color="auto" w:fill="D9E2F3" w:themeFill="accent1" w:themeFillTint="33"/>
          </w:tcPr>
          <w:p w14:paraId="3C63EB63" w14:textId="77777777" w:rsidR="00F801C2" w:rsidRPr="00FD33EB" w:rsidRDefault="00F801C2" w:rsidP="00CC0130">
            <w:pPr>
              <w:jc w:val="center"/>
              <w:rPr>
                <w:b/>
                <w:bCs/>
              </w:rPr>
            </w:pPr>
            <w:r w:rsidRPr="00FD33EB">
              <w:rPr>
                <w:b/>
                <w:bCs/>
              </w:rPr>
              <w:t>ROK</w:t>
            </w:r>
          </w:p>
        </w:tc>
        <w:tc>
          <w:tcPr>
            <w:tcW w:w="3827" w:type="dxa"/>
            <w:shd w:val="clear" w:color="auto" w:fill="D9E2F3" w:themeFill="accent1" w:themeFillTint="33"/>
          </w:tcPr>
          <w:p w14:paraId="3E85B33F" w14:textId="77777777" w:rsidR="00F801C2" w:rsidRDefault="00F801C2" w:rsidP="00CC0130">
            <w:pPr>
              <w:jc w:val="center"/>
              <w:rPr>
                <w:b/>
                <w:bCs/>
                <w:sz w:val="22"/>
              </w:rPr>
            </w:pPr>
            <w:r w:rsidRPr="00FD33EB">
              <w:rPr>
                <w:b/>
                <w:bCs/>
                <w:sz w:val="22"/>
              </w:rPr>
              <w:t>Wymagany poziom przygotowania do ponownego użycia i recyklingu</w:t>
            </w:r>
          </w:p>
          <w:p w14:paraId="604A0489" w14:textId="0FAB6D1D" w:rsidR="00C46392" w:rsidRPr="00FD33EB" w:rsidRDefault="00C46392" w:rsidP="00CC0130">
            <w:pPr>
              <w:jc w:val="center"/>
              <w:rPr>
                <w:b/>
                <w:bCs/>
              </w:rPr>
            </w:pPr>
          </w:p>
        </w:tc>
        <w:tc>
          <w:tcPr>
            <w:tcW w:w="3680" w:type="dxa"/>
            <w:shd w:val="clear" w:color="auto" w:fill="D9E2F3" w:themeFill="accent1" w:themeFillTint="33"/>
          </w:tcPr>
          <w:p w14:paraId="129CF83B" w14:textId="77777777" w:rsidR="00F801C2" w:rsidRPr="00FD33EB" w:rsidRDefault="00F801C2" w:rsidP="00CC0130">
            <w:pPr>
              <w:jc w:val="center"/>
              <w:rPr>
                <w:b/>
                <w:bCs/>
              </w:rPr>
            </w:pPr>
            <w:r w:rsidRPr="00FD33EB">
              <w:rPr>
                <w:b/>
                <w:bCs/>
                <w:sz w:val="22"/>
              </w:rPr>
              <w:t>Poziom osiągnięty przez Gminę Sosnowiec</w:t>
            </w:r>
          </w:p>
        </w:tc>
      </w:tr>
      <w:tr w:rsidR="00F801C2" w14:paraId="3A010534" w14:textId="77777777" w:rsidTr="00B90715">
        <w:tc>
          <w:tcPr>
            <w:tcW w:w="1555" w:type="dxa"/>
          </w:tcPr>
          <w:p w14:paraId="2B2389D9" w14:textId="77777777" w:rsidR="00F801C2" w:rsidRDefault="00F801C2" w:rsidP="00CC0130">
            <w:pPr>
              <w:jc w:val="center"/>
            </w:pPr>
            <w:r>
              <w:t>2012</w:t>
            </w:r>
          </w:p>
        </w:tc>
        <w:tc>
          <w:tcPr>
            <w:tcW w:w="3827" w:type="dxa"/>
          </w:tcPr>
          <w:p w14:paraId="0D6C0554" w14:textId="523EB1D1" w:rsidR="00F801C2" w:rsidRDefault="005660EB" w:rsidP="00CC0130">
            <w:pPr>
              <w:jc w:val="center"/>
            </w:pPr>
            <w:r>
              <w:t>30</w:t>
            </w:r>
          </w:p>
        </w:tc>
        <w:tc>
          <w:tcPr>
            <w:tcW w:w="3680" w:type="dxa"/>
          </w:tcPr>
          <w:p w14:paraId="0415238A" w14:textId="220A8CDB" w:rsidR="00F801C2" w:rsidRDefault="005660EB" w:rsidP="00CC0130">
            <w:pPr>
              <w:jc w:val="center"/>
            </w:pPr>
            <w:r>
              <w:t>100</w:t>
            </w:r>
          </w:p>
        </w:tc>
      </w:tr>
      <w:tr w:rsidR="00F801C2" w14:paraId="38E6457D" w14:textId="77777777" w:rsidTr="00B90715">
        <w:tc>
          <w:tcPr>
            <w:tcW w:w="1555" w:type="dxa"/>
          </w:tcPr>
          <w:p w14:paraId="54316BD7" w14:textId="77777777" w:rsidR="00F801C2" w:rsidRDefault="00F801C2" w:rsidP="00CC0130">
            <w:pPr>
              <w:jc w:val="center"/>
            </w:pPr>
            <w:r>
              <w:t>2013</w:t>
            </w:r>
          </w:p>
        </w:tc>
        <w:tc>
          <w:tcPr>
            <w:tcW w:w="3827" w:type="dxa"/>
          </w:tcPr>
          <w:p w14:paraId="0702E9AE" w14:textId="77495D29" w:rsidR="00F801C2" w:rsidRDefault="005660EB" w:rsidP="00CC0130">
            <w:pPr>
              <w:jc w:val="center"/>
            </w:pPr>
            <w:r>
              <w:t>36</w:t>
            </w:r>
          </w:p>
        </w:tc>
        <w:tc>
          <w:tcPr>
            <w:tcW w:w="3680" w:type="dxa"/>
          </w:tcPr>
          <w:p w14:paraId="15CB7222" w14:textId="3A553DC1" w:rsidR="00F801C2" w:rsidRDefault="005660EB" w:rsidP="00CC0130">
            <w:pPr>
              <w:jc w:val="center"/>
            </w:pPr>
            <w:r>
              <w:t>100</w:t>
            </w:r>
          </w:p>
        </w:tc>
      </w:tr>
      <w:tr w:rsidR="00F801C2" w14:paraId="21C420A4" w14:textId="77777777" w:rsidTr="00B90715">
        <w:tc>
          <w:tcPr>
            <w:tcW w:w="1555" w:type="dxa"/>
          </w:tcPr>
          <w:p w14:paraId="75049CA8" w14:textId="77777777" w:rsidR="00F801C2" w:rsidRDefault="00F801C2" w:rsidP="00CC0130">
            <w:pPr>
              <w:jc w:val="center"/>
            </w:pPr>
            <w:r>
              <w:t>2014</w:t>
            </w:r>
          </w:p>
        </w:tc>
        <w:tc>
          <w:tcPr>
            <w:tcW w:w="3827" w:type="dxa"/>
          </w:tcPr>
          <w:p w14:paraId="4CFAC77A" w14:textId="7BEE9C09" w:rsidR="00F801C2" w:rsidRDefault="005660EB" w:rsidP="00CC0130">
            <w:pPr>
              <w:jc w:val="center"/>
            </w:pPr>
            <w:r>
              <w:t>38</w:t>
            </w:r>
          </w:p>
        </w:tc>
        <w:tc>
          <w:tcPr>
            <w:tcW w:w="3680" w:type="dxa"/>
          </w:tcPr>
          <w:p w14:paraId="4BC36345" w14:textId="6B9A4C6A" w:rsidR="00F801C2" w:rsidRDefault="005660EB" w:rsidP="00CC0130">
            <w:pPr>
              <w:jc w:val="center"/>
            </w:pPr>
            <w:r>
              <w:t>99</w:t>
            </w:r>
          </w:p>
        </w:tc>
      </w:tr>
      <w:tr w:rsidR="00F801C2" w14:paraId="4B95A050" w14:textId="77777777" w:rsidTr="00B90715">
        <w:tc>
          <w:tcPr>
            <w:tcW w:w="1555" w:type="dxa"/>
          </w:tcPr>
          <w:p w14:paraId="7C24ED7F" w14:textId="77777777" w:rsidR="00F801C2" w:rsidRDefault="00F801C2" w:rsidP="00CC0130">
            <w:pPr>
              <w:jc w:val="center"/>
            </w:pPr>
            <w:r>
              <w:t>2015</w:t>
            </w:r>
          </w:p>
        </w:tc>
        <w:tc>
          <w:tcPr>
            <w:tcW w:w="3827" w:type="dxa"/>
          </w:tcPr>
          <w:p w14:paraId="2FB80AA3" w14:textId="6AD672DF" w:rsidR="00F801C2" w:rsidRDefault="005660EB" w:rsidP="00CC0130">
            <w:pPr>
              <w:jc w:val="center"/>
            </w:pPr>
            <w:r>
              <w:t>40</w:t>
            </w:r>
          </w:p>
        </w:tc>
        <w:tc>
          <w:tcPr>
            <w:tcW w:w="3680" w:type="dxa"/>
          </w:tcPr>
          <w:p w14:paraId="427CDF77" w14:textId="4EC17295" w:rsidR="00F801C2" w:rsidRDefault="005660EB" w:rsidP="00CC0130">
            <w:pPr>
              <w:jc w:val="center"/>
            </w:pPr>
            <w:r>
              <w:t>95,6</w:t>
            </w:r>
          </w:p>
        </w:tc>
      </w:tr>
      <w:tr w:rsidR="00F801C2" w14:paraId="68888AF0" w14:textId="77777777" w:rsidTr="00B90715">
        <w:tc>
          <w:tcPr>
            <w:tcW w:w="1555" w:type="dxa"/>
          </w:tcPr>
          <w:p w14:paraId="4633ECDC" w14:textId="77777777" w:rsidR="00F801C2" w:rsidRDefault="00F801C2" w:rsidP="00CC0130">
            <w:pPr>
              <w:jc w:val="center"/>
            </w:pPr>
            <w:r>
              <w:t>2016</w:t>
            </w:r>
          </w:p>
        </w:tc>
        <w:tc>
          <w:tcPr>
            <w:tcW w:w="3827" w:type="dxa"/>
          </w:tcPr>
          <w:p w14:paraId="51129EEB" w14:textId="21B68CCC" w:rsidR="00F801C2" w:rsidRDefault="005660EB" w:rsidP="00CC0130">
            <w:pPr>
              <w:jc w:val="center"/>
            </w:pPr>
            <w:r>
              <w:t>42</w:t>
            </w:r>
          </w:p>
        </w:tc>
        <w:tc>
          <w:tcPr>
            <w:tcW w:w="3680" w:type="dxa"/>
          </w:tcPr>
          <w:p w14:paraId="526785E5" w14:textId="4C0E33BB" w:rsidR="00F801C2" w:rsidRDefault="005660EB" w:rsidP="00CC0130">
            <w:pPr>
              <w:jc w:val="center"/>
            </w:pPr>
            <w:r>
              <w:t>95,8</w:t>
            </w:r>
          </w:p>
        </w:tc>
      </w:tr>
      <w:tr w:rsidR="00F801C2" w14:paraId="4DB033A9" w14:textId="77777777" w:rsidTr="00B90715">
        <w:tc>
          <w:tcPr>
            <w:tcW w:w="1555" w:type="dxa"/>
          </w:tcPr>
          <w:p w14:paraId="594716D7" w14:textId="77777777" w:rsidR="00F801C2" w:rsidRDefault="00F801C2" w:rsidP="00CC0130">
            <w:pPr>
              <w:jc w:val="center"/>
            </w:pPr>
            <w:r>
              <w:t>2017</w:t>
            </w:r>
          </w:p>
        </w:tc>
        <w:tc>
          <w:tcPr>
            <w:tcW w:w="3827" w:type="dxa"/>
          </w:tcPr>
          <w:p w14:paraId="17442766" w14:textId="2BAB65A2" w:rsidR="00F801C2" w:rsidRDefault="005660EB" w:rsidP="00CC0130">
            <w:pPr>
              <w:jc w:val="center"/>
            </w:pPr>
            <w:r>
              <w:t>45</w:t>
            </w:r>
          </w:p>
        </w:tc>
        <w:tc>
          <w:tcPr>
            <w:tcW w:w="3680" w:type="dxa"/>
          </w:tcPr>
          <w:p w14:paraId="2CA8401C" w14:textId="48E7D73E" w:rsidR="00F801C2" w:rsidRDefault="005660EB" w:rsidP="00CC0130">
            <w:pPr>
              <w:jc w:val="center"/>
            </w:pPr>
            <w:r>
              <w:t>93</w:t>
            </w:r>
          </w:p>
        </w:tc>
      </w:tr>
      <w:tr w:rsidR="00F801C2" w14:paraId="5B862739" w14:textId="77777777" w:rsidTr="00B90715">
        <w:tc>
          <w:tcPr>
            <w:tcW w:w="1555" w:type="dxa"/>
          </w:tcPr>
          <w:p w14:paraId="7BBAAACA" w14:textId="77777777" w:rsidR="00F801C2" w:rsidRDefault="00F801C2" w:rsidP="00CC0130">
            <w:pPr>
              <w:jc w:val="center"/>
            </w:pPr>
            <w:r>
              <w:t>2018</w:t>
            </w:r>
          </w:p>
        </w:tc>
        <w:tc>
          <w:tcPr>
            <w:tcW w:w="3827" w:type="dxa"/>
          </w:tcPr>
          <w:p w14:paraId="433703C4" w14:textId="25BE650C" w:rsidR="00F801C2" w:rsidRDefault="005660EB" w:rsidP="00CC0130">
            <w:pPr>
              <w:jc w:val="center"/>
            </w:pPr>
            <w:r>
              <w:t>50</w:t>
            </w:r>
          </w:p>
        </w:tc>
        <w:tc>
          <w:tcPr>
            <w:tcW w:w="3680" w:type="dxa"/>
          </w:tcPr>
          <w:p w14:paraId="30983DC3" w14:textId="0A46BB39" w:rsidR="00F801C2" w:rsidRDefault="005660EB" w:rsidP="00CC0130">
            <w:pPr>
              <w:jc w:val="center"/>
            </w:pPr>
            <w:r>
              <w:t>92</w:t>
            </w:r>
          </w:p>
        </w:tc>
      </w:tr>
      <w:tr w:rsidR="00F801C2" w14:paraId="66285E04" w14:textId="77777777" w:rsidTr="00B90715">
        <w:tc>
          <w:tcPr>
            <w:tcW w:w="1555" w:type="dxa"/>
          </w:tcPr>
          <w:p w14:paraId="449B9730" w14:textId="77777777" w:rsidR="00F801C2" w:rsidRDefault="00F801C2" w:rsidP="00CC0130">
            <w:pPr>
              <w:jc w:val="center"/>
            </w:pPr>
            <w:r>
              <w:t>2019</w:t>
            </w:r>
          </w:p>
        </w:tc>
        <w:tc>
          <w:tcPr>
            <w:tcW w:w="3827" w:type="dxa"/>
          </w:tcPr>
          <w:p w14:paraId="2003F258" w14:textId="27F6E9C6" w:rsidR="00F801C2" w:rsidRDefault="005660EB" w:rsidP="00CC0130">
            <w:pPr>
              <w:jc w:val="center"/>
            </w:pPr>
            <w:r>
              <w:t>60</w:t>
            </w:r>
          </w:p>
        </w:tc>
        <w:tc>
          <w:tcPr>
            <w:tcW w:w="3680" w:type="dxa"/>
          </w:tcPr>
          <w:p w14:paraId="5274CEA4" w14:textId="1102F8DA" w:rsidR="00F801C2" w:rsidRDefault="005660EB" w:rsidP="00CC0130">
            <w:pPr>
              <w:jc w:val="center"/>
            </w:pPr>
            <w:r>
              <w:t>94,2</w:t>
            </w:r>
          </w:p>
        </w:tc>
      </w:tr>
      <w:tr w:rsidR="00F801C2" w14:paraId="163E0E0D" w14:textId="77777777" w:rsidTr="00B90715">
        <w:tc>
          <w:tcPr>
            <w:tcW w:w="1555" w:type="dxa"/>
          </w:tcPr>
          <w:p w14:paraId="35ABA3A2" w14:textId="77777777" w:rsidR="00F801C2" w:rsidRDefault="00F801C2" w:rsidP="00CC0130">
            <w:pPr>
              <w:jc w:val="center"/>
            </w:pPr>
            <w:r>
              <w:t>2020</w:t>
            </w:r>
          </w:p>
        </w:tc>
        <w:tc>
          <w:tcPr>
            <w:tcW w:w="3827" w:type="dxa"/>
          </w:tcPr>
          <w:p w14:paraId="14B15213" w14:textId="2540BA34" w:rsidR="00F801C2" w:rsidRDefault="005660EB" w:rsidP="00CC0130">
            <w:pPr>
              <w:jc w:val="center"/>
            </w:pPr>
            <w:r>
              <w:t>70</w:t>
            </w:r>
          </w:p>
        </w:tc>
        <w:tc>
          <w:tcPr>
            <w:tcW w:w="3680" w:type="dxa"/>
          </w:tcPr>
          <w:p w14:paraId="71A65CAB" w14:textId="4EB70B7A" w:rsidR="00F801C2" w:rsidRDefault="005660EB" w:rsidP="00CC0130">
            <w:pPr>
              <w:jc w:val="center"/>
            </w:pPr>
            <w:r>
              <w:t>99</w:t>
            </w:r>
          </w:p>
        </w:tc>
      </w:tr>
      <w:tr w:rsidR="00F801C2" w14:paraId="5ADDBD5A" w14:textId="77777777" w:rsidTr="00B90715">
        <w:tc>
          <w:tcPr>
            <w:tcW w:w="1555" w:type="dxa"/>
          </w:tcPr>
          <w:p w14:paraId="65ADBAFF" w14:textId="21B09008" w:rsidR="00F801C2" w:rsidRDefault="00F801C2" w:rsidP="00CC0130">
            <w:pPr>
              <w:jc w:val="center"/>
            </w:pPr>
            <w:r>
              <w:t>2021</w:t>
            </w:r>
            <w:r w:rsidR="00E33DE2">
              <w:t>*</w:t>
            </w:r>
          </w:p>
        </w:tc>
        <w:tc>
          <w:tcPr>
            <w:tcW w:w="3827" w:type="dxa"/>
          </w:tcPr>
          <w:p w14:paraId="54EBC444" w14:textId="18842C72" w:rsidR="00F801C2" w:rsidRDefault="005660EB" w:rsidP="00CC0130">
            <w:pPr>
              <w:jc w:val="center"/>
            </w:pPr>
            <w:r>
              <w:t>b.d.</w:t>
            </w:r>
          </w:p>
        </w:tc>
        <w:tc>
          <w:tcPr>
            <w:tcW w:w="3680" w:type="dxa"/>
          </w:tcPr>
          <w:p w14:paraId="73D559AA" w14:textId="680F1203" w:rsidR="00F801C2" w:rsidRDefault="005660EB" w:rsidP="00CC0130">
            <w:pPr>
              <w:jc w:val="center"/>
            </w:pPr>
            <w:r>
              <w:t>98,66</w:t>
            </w:r>
          </w:p>
        </w:tc>
      </w:tr>
      <w:tr w:rsidR="00F801C2" w14:paraId="61C98BE5" w14:textId="77777777" w:rsidTr="00B90715">
        <w:tc>
          <w:tcPr>
            <w:tcW w:w="1555" w:type="dxa"/>
            <w:shd w:val="clear" w:color="auto" w:fill="D9E2F3" w:themeFill="accent1" w:themeFillTint="33"/>
          </w:tcPr>
          <w:p w14:paraId="07B6036F" w14:textId="0A881594" w:rsidR="00F801C2" w:rsidRDefault="00F801C2" w:rsidP="00CC0130">
            <w:pPr>
              <w:jc w:val="center"/>
            </w:pPr>
            <w:r>
              <w:t>2022</w:t>
            </w:r>
            <w:r w:rsidR="00E33DE2">
              <w:t>**</w:t>
            </w:r>
          </w:p>
        </w:tc>
        <w:tc>
          <w:tcPr>
            <w:tcW w:w="3827" w:type="dxa"/>
            <w:shd w:val="clear" w:color="auto" w:fill="D9E2F3" w:themeFill="accent1" w:themeFillTint="33"/>
          </w:tcPr>
          <w:p w14:paraId="6CAE75B7" w14:textId="399105B3" w:rsidR="00F801C2" w:rsidRDefault="00F801C2" w:rsidP="00CC0130">
            <w:pPr>
              <w:jc w:val="center"/>
            </w:pPr>
          </w:p>
        </w:tc>
        <w:tc>
          <w:tcPr>
            <w:tcW w:w="3680" w:type="dxa"/>
            <w:shd w:val="clear" w:color="auto" w:fill="D9E2F3" w:themeFill="accent1" w:themeFillTint="33"/>
          </w:tcPr>
          <w:p w14:paraId="7BE6D6C0" w14:textId="38CA1857" w:rsidR="00F801C2" w:rsidRDefault="00F801C2" w:rsidP="00CC0130">
            <w:pPr>
              <w:jc w:val="center"/>
            </w:pPr>
          </w:p>
        </w:tc>
      </w:tr>
    </w:tbl>
    <w:p w14:paraId="7B0AC2AF" w14:textId="77777777" w:rsidR="005F68D6" w:rsidRPr="005F68D6" w:rsidRDefault="005F68D6" w:rsidP="005F68D6">
      <w:pPr>
        <w:jc w:val="both"/>
        <w:rPr>
          <w:rFonts w:eastAsia="Calibri" w:cs="Times New Roman"/>
          <w:bCs/>
          <w:sz w:val="20"/>
          <w:szCs w:val="20"/>
        </w:rPr>
      </w:pPr>
      <w:r w:rsidRPr="005F68D6">
        <w:rPr>
          <w:rFonts w:eastAsia="Calibri" w:cs="Times New Roman"/>
          <w:bCs/>
          <w:sz w:val="20"/>
          <w:szCs w:val="20"/>
        </w:rPr>
        <w:t>Źródło: opracowanie własne.</w:t>
      </w:r>
    </w:p>
    <w:p w14:paraId="66DBA829" w14:textId="77777777" w:rsidR="005F68D6" w:rsidRPr="005F68D6" w:rsidRDefault="005F68D6" w:rsidP="005F68D6">
      <w:pPr>
        <w:jc w:val="both"/>
        <w:rPr>
          <w:rFonts w:eastAsia="Calibri" w:cs="Times New Roman"/>
          <w:bCs/>
          <w:sz w:val="20"/>
          <w:szCs w:val="20"/>
        </w:rPr>
      </w:pPr>
    </w:p>
    <w:p w14:paraId="13CF1F03" w14:textId="74D65C7A" w:rsidR="005F68D6" w:rsidRPr="005F68D6" w:rsidRDefault="005F68D6" w:rsidP="005F68D6">
      <w:pPr>
        <w:jc w:val="both"/>
        <w:rPr>
          <w:rFonts w:eastAsia="Calibri" w:cs="Times New Roman"/>
          <w:bCs/>
          <w:sz w:val="20"/>
          <w:szCs w:val="20"/>
        </w:rPr>
      </w:pPr>
      <w:r w:rsidRPr="005F68D6">
        <w:rPr>
          <w:rFonts w:eastAsia="Calibri" w:cs="Times New Roman"/>
          <w:bCs/>
          <w:sz w:val="20"/>
          <w:szCs w:val="20"/>
        </w:rPr>
        <w:t>*</w:t>
      </w:r>
      <w:r>
        <w:rPr>
          <w:rFonts w:eastAsia="Calibri" w:cs="Times New Roman"/>
          <w:bCs/>
          <w:sz w:val="20"/>
          <w:szCs w:val="20"/>
        </w:rPr>
        <w:t xml:space="preserve">w </w:t>
      </w:r>
      <w:r w:rsidRPr="005F68D6">
        <w:rPr>
          <w:rFonts w:eastAsia="Calibri" w:cs="Times New Roman"/>
          <w:bCs/>
          <w:sz w:val="20"/>
          <w:szCs w:val="20"/>
        </w:rPr>
        <w:t>obliczenia</w:t>
      </w:r>
      <w:r>
        <w:rPr>
          <w:rFonts w:eastAsia="Calibri" w:cs="Times New Roman"/>
          <w:bCs/>
          <w:sz w:val="20"/>
          <w:szCs w:val="20"/>
        </w:rPr>
        <w:t>ch</w:t>
      </w:r>
      <w:r w:rsidRPr="005F68D6">
        <w:rPr>
          <w:rFonts w:eastAsia="Calibri" w:cs="Times New Roman"/>
          <w:bCs/>
          <w:sz w:val="20"/>
          <w:szCs w:val="20"/>
        </w:rPr>
        <w:t xml:space="preserve"> poziomu</w:t>
      </w:r>
      <w:r>
        <w:rPr>
          <w:rFonts w:eastAsia="Calibri" w:cs="Times New Roman"/>
          <w:bCs/>
          <w:sz w:val="20"/>
          <w:szCs w:val="20"/>
        </w:rPr>
        <w:t xml:space="preserve"> do roku </w:t>
      </w:r>
      <w:r w:rsidRPr="005F68D6">
        <w:rPr>
          <w:rFonts w:eastAsia="Calibri" w:cs="Times New Roman"/>
          <w:bCs/>
          <w:sz w:val="20"/>
          <w:szCs w:val="20"/>
        </w:rPr>
        <w:t>2021</w:t>
      </w:r>
      <w:r>
        <w:rPr>
          <w:rFonts w:eastAsia="Calibri" w:cs="Times New Roman"/>
          <w:bCs/>
          <w:sz w:val="20"/>
          <w:szCs w:val="20"/>
        </w:rPr>
        <w:t>,</w:t>
      </w:r>
      <w:r w:rsidRPr="005F68D6">
        <w:rPr>
          <w:rFonts w:eastAsia="Calibri" w:cs="Times New Roman"/>
          <w:bCs/>
          <w:sz w:val="20"/>
          <w:szCs w:val="20"/>
        </w:rPr>
        <w:t xml:space="preserve"> mają zastosowanie wytyczne Rozporządzenia Ministra Środowiska z dnia 14 grudnia 2016 r. w sprawie poziomów recyklingu, przygotowania do ponownego użycia i odzysku innymi metodami niektórych frakcji odpadów komunalnych (Dz. U. z 2016 r., poz. 2167)</w:t>
      </w:r>
    </w:p>
    <w:p w14:paraId="3174D6B0" w14:textId="0FD05330" w:rsidR="00F801C2" w:rsidRDefault="00F801C2"/>
    <w:p w14:paraId="6672B082" w14:textId="6A37A491" w:rsidR="005F68D6" w:rsidRPr="005F68D6" w:rsidRDefault="005F68D6" w:rsidP="005F68D6">
      <w:pPr>
        <w:spacing w:line="276" w:lineRule="auto"/>
        <w:jc w:val="both"/>
        <w:rPr>
          <w:rFonts w:eastAsia="Calibri" w:cs="Times New Roman"/>
          <w:sz w:val="20"/>
          <w:szCs w:val="20"/>
        </w:rPr>
      </w:pPr>
      <w:r w:rsidRPr="005F68D6">
        <w:rPr>
          <w:rFonts w:eastAsia="Calibri" w:cs="Times New Roman"/>
          <w:sz w:val="20"/>
          <w:szCs w:val="20"/>
        </w:rPr>
        <w:t>**Zmiany w zakresie definicji odpadów komunalnych oraz odpadów budowlanych i rozbiórkowych weszły w</w:t>
      </w:r>
      <w:r w:rsidR="00E36BC3">
        <w:rPr>
          <w:rFonts w:eastAsia="Calibri" w:cs="Times New Roman"/>
          <w:sz w:val="20"/>
          <w:szCs w:val="20"/>
        </w:rPr>
        <w:t> </w:t>
      </w:r>
      <w:r w:rsidRPr="005F68D6">
        <w:rPr>
          <w:rFonts w:eastAsia="Calibri" w:cs="Times New Roman"/>
          <w:sz w:val="20"/>
          <w:szCs w:val="20"/>
        </w:rPr>
        <w:t>życie 1 stycznia 2022 r., w wyniku czego z pojęcia odpadów komunalnych wyłączono odpady budowlane i</w:t>
      </w:r>
      <w:r w:rsidR="00E36BC3">
        <w:rPr>
          <w:rFonts w:eastAsia="Calibri" w:cs="Times New Roman"/>
          <w:sz w:val="20"/>
          <w:szCs w:val="20"/>
        </w:rPr>
        <w:t> </w:t>
      </w:r>
      <w:r w:rsidRPr="005F68D6">
        <w:rPr>
          <w:rFonts w:eastAsia="Calibri" w:cs="Times New Roman"/>
          <w:sz w:val="20"/>
          <w:szCs w:val="20"/>
        </w:rPr>
        <w:t xml:space="preserve">rozbiórkowe. Pomimo, że odpady budowlane i rozbiórkowe nie są odpadami komunalnymi, to na gruncie ustawy o utrzymaniu czystości i porządku w gminach traktować je należy tak jak odpady komunalne. </w:t>
      </w:r>
    </w:p>
    <w:p w14:paraId="58EA61FD" w14:textId="730C6C57" w:rsidR="005F68D6" w:rsidRPr="005F68D6" w:rsidRDefault="005F68D6" w:rsidP="005F68D6">
      <w:pPr>
        <w:spacing w:line="276" w:lineRule="auto"/>
        <w:jc w:val="both"/>
        <w:rPr>
          <w:rFonts w:eastAsia="Calibri" w:cs="Times New Roman"/>
          <w:sz w:val="20"/>
          <w:szCs w:val="20"/>
        </w:rPr>
      </w:pPr>
      <w:r w:rsidRPr="005F68D6">
        <w:rPr>
          <w:rFonts w:eastAsia="Calibri" w:cs="Times New Roman"/>
          <w:sz w:val="20"/>
          <w:szCs w:val="20"/>
        </w:rPr>
        <w:t>W tym też kierunku poszły pozostałe zmiany wprowadzone do tej ustawy, tj. w dalszym ciągu odpady te</w:t>
      </w:r>
      <w:r w:rsidR="00E36BC3">
        <w:rPr>
          <w:rFonts w:eastAsia="Calibri" w:cs="Times New Roman"/>
          <w:sz w:val="20"/>
          <w:szCs w:val="20"/>
        </w:rPr>
        <w:t> </w:t>
      </w:r>
      <w:r w:rsidRPr="005F68D6">
        <w:rPr>
          <w:rFonts w:eastAsia="Calibri" w:cs="Times New Roman"/>
          <w:sz w:val="20"/>
          <w:szCs w:val="20"/>
        </w:rPr>
        <w:t xml:space="preserve">przyjmowane są przez Punkty Selektywnego Zbierania Odpadów Komunalnych (PSZOK), z możliwością ograniczenia ilościowego w tym zakresie oraz są uwzględniane w sprawozdaniu BDO składanym przez podmiot prowadzący PSZOK jak również przez podmiot odbierający i zbierający odpady komunalne na terenie gminy. </w:t>
      </w:r>
    </w:p>
    <w:p w14:paraId="32BDFCEE" w14:textId="63D66E94" w:rsidR="005F68D6" w:rsidRPr="005F68D6" w:rsidRDefault="005F68D6" w:rsidP="005F68D6">
      <w:pPr>
        <w:spacing w:line="276" w:lineRule="auto"/>
        <w:jc w:val="both"/>
        <w:rPr>
          <w:rFonts w:eastAsia="Calibri" w:cs="Times New Roman"/>
          <w:sz w:val="20"/>
          <w:szCs w:val="20"/>
        </w:rPr>
      </w:pPr>
      <w:r w:rsidRPr="005F68D6">
        <w:rPr>
          <w:rFonts w:eastAsia="Calibri" w:cs="Times New Roman"/>
          <w:sz w:val="20"/>
          <w:szCs w:val="20"/>
        </w:rPr>
        <w:t>W sprawozdaniu rocznym (w systemie BDO) z realizacji zadań z zakresu gospodarowania odpadami komunalnymi na terenie danej gminy (począwszy od roku 2022), zarówno podmioty sprawozdające jak i prezydent miasta zobligowany jest zawrzeć informację o ilości odebranych oraz zebranych na terenie gminy odpadów budowlanych i rozbiórkowych w danym roku. Jednak począwszy od roku 2022 nie ma obowiązku wskazywania miejsc i sposobu zagospodarowania tych odpadów oraz wskazania procesów odzysku i recyklingu.</w:t>
      </w:r>
    </w:p>
    <w:p w14:paraId="46141342" w14:textId="0B339502" w:rsidR="00C46392" w:rsidRDefault="00C46392"/>
    <w:p w14:paraId="54E832E2" w14:textId="3BE9FAFB" w:rsidR="00C46392" w:rsidRDefault="00C46392"/>
    <w:p w14:paraId="1A4E33E5" w14:textId="4529A152" w:rsidR="00C46392" w:rsidRDefault="00C46392"/>
    <w:p w14:paraId="6288F9F4" w14:textId="70AD5BA1" w:rsidR="00C46392" w:rsidRPr="00C46392" w:rsidRDefault="00C46392" w:rsidP="00C46392">
      <w:pPr>
        <w:jc w:val="both"/>
        <w:rPr>
          <w:rFonts w:ascii="Trebuchet MS" w:eastAsia="Calibri" w:hAnsi="Trebuchet MS" w:cs="Times New Roman"/>
          <w:bCs/>
          <w:sz w:val="20"/>
          <w:szCs w:val="20"/>
          <w:lang w:val="x-none"/>
        </w:rPr>
      </w:pPr>
    </w:p>
    <w:tbl>
      <w:tblPr>
        <w:tblStyle w:val="Tabela-Siatka"/>
        <w:tblW w:w="0" w:type="auto"/>
        <w:tblLook w:val="04A0" w:firstRow="1" w:lastRow="0" w:firstColumn="1" w:lastColumn="0" w:noHBand="0" w:noVBand="1"/>
      </w:tblPr>
      <w:tblGrid>
        <w:gridCol w:w="1555"/>
        <w:gridCol w:w="3827"/>
        <w:gridCol w:w="3680"/>
      </w:tblGrid>
      <w:tr w:rsidR="00C46392" w14:paraId="5046C28D" w14:textId="77777777" w:rsidTr="00CC0130">
        <w:tc>
          <w:tcPr>
            <w:tcW w:w="9062" w:type="dxa"/>
            <w:gridSpan w:val="3"/>
            <w:shd w:val="clear" w:color="auto" w:fill="D9E2F3" w:themeFill="accent1" w:themeFillTint="33"/>
          </w:tcPr>
          <w:p w14:paraId="5F30ABFE" w14:textId="77777777" w:rsidR="00C46392" w:rsidRPr="00C46392" w:rsidRDefault="00C46392" w:rsidP="00C46392">
            <w:pPr>
              <w:jc w:val="center"/>
              <w:rPr>
                <w:rFonts w:eastAsia="Calibri" w:cs="Times New Roman"/>
                <w:b/>
                <w:szCs w:val="20"/>
              </w:rPr>
            </w:pPr>
            <w:r w:rsidRPr="00C46392">
              <w:rPr>
                <w:rFonts w:eastAsia="Calibri" w:cs="Times New Roman"/>
                <w:b/>
                <w:szCs w:val="20"/>
              </w:rPr>
              <w:t>Poziom ograniczenia masy odpadów komunalnych ulegających biodegradacji przekazywanych do składowania w stosunku do masy tych odpadów wytworzonych</w:t>
            </w:r>
          </w:p>
          <w:p w14:paraId="7AB6C23E" w14:textId="69430789" w:rsidR="00C46392" w:rsidRDefault="00C46392" w:rsidP="00C46392">
            <w:pPr>
              <w:jc w:val="center"/>
            </w:pPr>
            <w:r w:rsidRPr="00C46392">
              <w:rPr>
                <w:rFonts w:eastAsia="Calibri" w:cs="Times New Roman"/>
                <w:b/>
                <w:szCs w:val="20"/>
              </w:rPr>
              <w:t>w 1995 r. (%)</w:t>
            </w:r>
          </w:p>
        </w:tc>
      </w:tr>
      <w:tr w:rsidR="00C46392" w14:paraId="7170C7A6" w14:textId="77777777" w:rsidTr="00B90715">
        <w:tc>
          <w:tcPr>
            <w:tcW w:w="1555" w:type="dxa"/>
            <w:shd w:val="clear" w:color="auto" w:fill="D9E2F3" w:themeFill="accent1" w:themeFillTint="33"/>
          </w:tcPr>
          <w:p w14:paraId="45A28924" w14:textId="77777777" w:rsidR="00C46392" w:rsidRPr="00FD33EB" w:rsidRDefault="00C46392" w:rsidP="00CC0130">
            <w:pPr>
              <w:jc w:val="center"/>
              <w:rPr>
                <w:b/>
                <w:bCs/>
              </w:rPr>
            </w:pPr>
            <w:r w:rsidRPr="00FD33EB">
              <w:rPr>
                <w:b/>
                <w:bCs/>
              </w:rPr>
              <w:t>ROK</w:t>
            </w:r>
          </w:p>
        </w:tc>
        <w:tc>
          <w:tcPr>
            <w:tcW w:w="3827" w:type="dxa"/>
            <w:shd w:val="clear" w:color="auto" w:fill="D9E2F3" w:themeFill="accent1" w:themeFillTint="33"/>
          </w:tcPr>
          <w:p w14:paraId="0B762123" w14:textId="618AB7DE" w:rsidR="00C46392" w:rsidRPr="00C46392" w:rsidRDefault="00C46392" w:rsidP="00C46392">
            <w:pPr>
              <w:jc w:val="center"/>
              <w:rPr>
                <w:b/>
                <w:bCs/>
              </w:rPr>
            </w:pPr>
            <w:r w:rsidRPr="00C46392">
              <w:rPr>
                <w:b/>
                <w:bCs/>
                <w:sz w:val="22"/>
              </w:rPr>
              <w:t>Wymagany poziom ograniczenia masy odpadów komunalnych ulegających biodegradacji przekazywanych do składowania, P</w:t>
            </w:r>
            <w:r w:rsidRPr="00C46392">
              <w:rPr>
                <w:b/>
                <w:bCs/>
                <w:sz w:val="22"/>
                <w:vertAlign w:val="subscript"/>
              </w:rPr>
              <w:t xml:space="preserve">R  </w:t>
            </w:r>
            <w:r w:rsidRPr="00C46392">
              <w:rPr>
                <w:b/>
                <w:bCs/>
                <w:sz w:val="22"/>
              </w:rPr>
              <w:t>[%]</w:t>
            </w:r>
          </w:p>
        </w:tc>
        <w:tc>
          <w:tcPr>
            <w:tcW w:w="3680" w:type="dxa"/>
            <w:shd w:val="clear" w:color="auto" w:fill="D9E2F3" w:themeFill="accent1" w:themeFillTint="33"/>
          </w:tcPr>
          <w:p w14:paraId="4DE1FB41" w14:textId="77777777" w:rsidR="00C46392" w:rsidRPr="00FD33EB" w:rsidRDefault="00C46392" w:rsidP="00CC0130">
            <w:pPr>
              <w:jc w:val="center"/>
              <w:rPr>
                <w:b/>
                <w:bCs/>
              </w:rPr>
            </w:pPr>
            <w:r w:rsidRPr="00FD33EB">
              <w:rPr>
                <w:b/>
                <w:bCs/>
                <w:sz w:val="22"/>
              </w:rPr>
              <w:t>Poziom osiągnięty przez Gminę Sosnowiec</w:t>
            </w:r>
          </w:p>
        </w:tc>
      </w:tr>
      <w:tr w:rsidR="00C46392" w14:paraId="4C594916" w14:textId="77777777" w:rsidTr="00B90715">
        <w:tc>
          <w:tcPr>
            <w:tcW w:w="1555" w:type="dxa"/>
          </w:tcPr>
          <w:p w14:paraId="0EA81FBF" w14:textId="77777777" w:rsidR="00C46392" w:rsidRDefault="00C46392" w:rsidP="00CC0130">
            <w:pPr>
              <w:jc w:val="center"/>
            </w:pPr>
            <w:r>
              <w:t>2012</w:t>
            </w:r>
          </w:p>
        </w:tc>
        <w:tc>
          <w:tcPr>
            <w:tcW w:w="3827" w:type="dxa"/>
          </w:tcPr>
          <w:p w14:paraId="62D6A05A" w14:textId="191F163E" w:rsidR="00C46392" w:rsidRDefault="00B90715" w:rsidP="00CC0130">
            <w:pPr>
              <w:jc w:val="center"/>
            </w:pPr>
            <w:r>
              <w:t>75</w:t>
            </w:r>
          </w:p>
        </w:tc>
        <w:tc>
          <w:tcPr>
            <w:tcW w:w="3680" w:type="dxa"/>
          </w:tcPr>
          <w:p w14:paraId="5ED27EDA" w14:textId="02FA55E0" w:rsidR="00C46392" w:rsidRDefault="00B90715" w:rsidP="00CC0130">
            <w:pPr>
              <w:jc w:val="center"/>
            </w:pPr>
            <w:r>
              <w:t>15,9</w:t>
            </w:r>
          </w:p>
        </w:tc>
      </w:tr>
      <w:tr w:rsidR="00C46392" w14:paraId="73B55073" w14:textId="77777777" w:rsidTr="00B90715">
        <w:tc>
          <w:tcPr>
            <w:tcW w:w="1555" w:type="dxa"/>
          </w:tcPr>
          <w:p w14:paraId="1855AD4E" w14:textId="77777777" w:rsidR="00C46392" w:rsidRDefault="00C46392" w:rsidP="00CC0130">
            <w:pPr>
              <w:jc w:val="center"/>
            </w:pPr>
            <w:r>
              <w:t>2013</w:t>
            </w:r>
          </w:p>
        </w:tc>
        <w:tc>
          <w:tcPr>
            <w:tcW w:w="3827" w:type="dxa"/>
          </w:tcPr>
          <w:p w14:paraId="29E65AC9" w14:textId="4BAF45D2" w:rsidR="00C46392" w:rsidRDefault="00B90715" w:rsidP="00CC0130">
            <w:pPr>
              <w:jc w:val="center"/>
            </w:pPr>
            <w:r>
              <w:t>50</w:t>
            </w:r>
          </w:p>
        </w:tc>
        <w:tc>
          <w:tcPr>
            <w:tcW w:w="3680" w:type="dxa"/>
          </w:tcPr>
          <w:p w14:paraId="05359582" w14:textId="347DC4B4" w:rsidR="00C46392" w:rsidRDefault="00B90715" w:rsidP="00CC0130">
            <w:pPr>
              <w:jc w:val="center"/>
            </w:pPr>
            <w:r>
              <w:t>6,1</w:t>
            </w:r>
          </w:p>
        </w:tc>
      </w:tr>
      <w:tr w:rsidR="00C46392" w14:paraId="7D343656" w14:textId="77777777" w:rsidTr="00B90715">
        <w:tc>
          <w:tcPr>
            <w:tcW w:w="1555" w:type="dxa"/>
          </w:tcPr>
          <w:p w14:paraId="0DDC3CC6" w14:textId="77777777" w:rsidR="00C46392" w:rsidRDefault="00C46392" w:rsidP="00CC0130">
            <w:pPr>
              <w:jc w:val="center"/>
            </w:pPr>
            <w:r>
              <w:t>2014</w:t>
            </w:r>
          </w:p>
        </w:tc>
        <w:tc>
          <w:tcPr>
            <w:tcW w:w="3827" w:type="dxa"/>
          </w:tcPr>
          <w:p w14:paraId="5514281C" w14:textId="5A7E6AD3" w:rsidR="00C46392" w:rsidRDefault="00B90715" w:rsidP="00B90715">
            <w:pPr>
              <w:jc w:val="center"/>
            </w:pPr>
            <w:r>
              <w:t>50</w:t>
            </w:r>
          </w:p>
        </w:tc>
        <w:tc>
          <w:tcPr>
            <w:tcW w:w="3680" w:type="dxa"/>
          </w:tcPr>
          <w:p w14:paraId="01538C26" w14:textId="57EFFA0B" w:rsidR="00C46392" w:rsidRDefault="00B90715" w:rsidP="00B90715">
            <w:pPr>
              <w:jc w:val="center"/>
            </w:pPr>
            <w:r>
              <w:t>0</w:t>
            </w:r>
          </w:p>
        </w:tc>
      </w:tr>
      <w:tr w:rsidR="00C46392" w14:paraId="79E271C4" w14:textId="77777777" w:rsidTr="00B90715">
        <w:tc>
          <w:tcPr>
            <w:tcW w:w="1555" w:type="dxa"/>
          </w:tcPr>
          <w:p w14:paraId="57158BB6" w14:textId="77777777" w:rsidR="00C46392" w:rsidRDefault="00C46392" w:rsidP="00CC0130">
            <w:pPr>
              <w:jc w:val="center"/>
            </w:pPr>
            <w:r>
              <w:t>2015</w:t>
            </w:r>
          </w:p>
        </w:tc>
        <w:tc>
          <w:tcPr>
            <w:tcW w:w="3827" w:type="dxa"/>
          </w:tcPr>
          <w:p w14:paraId="709D9DE8" w14:textId="0DFEC9E7" w:rsidR="00C46392" w:rsidRDefault="00B90715" w:rsidP="00CC0130">
            <w:pPr>
              <w:jc w:val="center"/>
            </w:pPr>
            <w:r>
              <w:t>50</w:t>
            </w:r>
          </w:p>
        </w:tc>
        <w:tc>
          <w:tcPr>
            <w:tcW w:w="3680" w:type="dxa"/>
          </w:tcPr>
          <w:p w14:paraId="69BFB07C" w14:textId="2C584ADE" w:rsidR="00C46392" w:rsidRDefault="00B90715" w:rsidP="00CC0130">
            <w:pPr>
              <w:jc w:val="center"/>
            </w:pPr>
            <w:r>
              <w:t>0</w:t>
            </w:r>
          </w:p>
        </w:tc>
      </w:tr>
      <w:tr w:rsidR="00C46392" w14:paraId="2F14CFBD" w14:textId="77777777" w:rsidTr="00B90715">
        <w:tc>
          <w:tcPr>
            <w:tcW w:w="1555" w:type="dxa"/>
          </w:tcPr>
          <w:p w14:paraId="7F335B8B" w14:textId="77777777" w:rsidR="00C46392" w:rsidRDefault="00C46392" w:rsidP="00CC0130">
            <w:pPr>
              <w:jc w:val="center"/>
            </w:pPr>
            <w:r>
              <w:t>2016</w:t>
            </w:r>
          </w:p>
        </w:tc>
        <w:tc>
          <w:tcPr>
            <w:tcW w:w="3827" w:type="dxa"/>
          </w:tcPr>
          <w:p w14:paraId="704BE0B3" w14:textId="10614B41" w:rsidR="00C46392" w:rsidRDefault="00B90715" w:rsidP="00CC0130">
            <w:pPr>
              <w:jc w:val="center"/>
            </w:pPr>
            <w:r>
              <w:t>45</w:t>
            </w:r>
          </w:p>
        </w:tc>
        <w:tc>
          <w:tcPr>
            <w:tcW w:w="3680" w:type="dxa"/>
          </w:tcPr>
          <w:p w14:paraId="29F820F3" w14:textId="523CFC71" w:rsidR="00C46392" w:rsidRDefault="00B90715" w:rsidP="00CC0130">
            <w:pPr>
              <w:jc w:val="center"/>
            </w:pPr>
            <w:r>
              <w:t>0</w:t>
            </w:r>
          </w:p>
        </w:tc>
      </w:tr>
      <w:tr w:rsidR="00C46392" w14:paraId="5005C8D3" w14:textId="77777777" w:rsidTr="00B90715">
        <w:tc>
          <w:tcPr>
            <w:tcW w:w="1555" w:type="dxa"/>
          </w:tcPr>
          <w:p w14:paraId="4C7247BF" w14:textId="77777777" w:rsidR="00C46392" w:rsidRDefault="00C46392" w:rsidP="00CC0130">
            <w:pPr>
              <w:jc w:val="center"/>
            </w:pPr>
            <w:r>
              <w:t>2017</w:t>
            </w:r>
          </w:p>
        </w:tc>
        <w:tc>
          <w:tcPr>
            <w:tcW w:w="3827" w:type="dxa"/>
          </w:tcPr>
          <w:p w14:paraId="57374C2B" w14:textId="6D3625BA" w:rsidR="00C46392" w:rsidRDefault="00B90715" w:rsidP="00B90715">
            <w:pPr>
              <w:jc w:val="center"/>
            </w:pPr>
            <w:r>
              <w:t>45</w:t>
            </w:r>
          </w:p>
        </w:tc>
        <w:tc>
          <w:tcPr>
            <w:tcW w:w="3680" w:type="dxa"/>
          </w:tcPr>
          <w:p w14:paraId="7F71E908" w14:textId="7C7EE1EB" w:rsidR="00C46392" w:rsidRDefault="00B90715" w:rsidP="00B90715">
            <w:pPr>
              <w:jc w:val="center"/>
            </w:pPr>
            <w:r>
              <w:t>32</w:t>
            </w:r>
          </w:p>
        </w:tc>
      </w:tr>
      <w:tr w:rsidR="00C46392" w14:paraId="3BADB27C" w14:textId="77777777" w:rsidTr="00B90715">
        <w:tc>
          <w:tcPr>
            <w:tcW w:w="1555" w:type="dxa"/>
          </w:tcPr>
          <w:p w14:paraId="08F6164E" w14:textId="77777777" w:rsidR="00C46392" w:rsidRDefault="00C46392" w:rsidP="00CC0130">
            <w:pPr>
              <w:jc w:val="center"/>
            </w:pPr>
            <w:r>
              <w:t>2018</w:t>
            </w:r>
          </w:p>
        </w:tc>
        <w:tc>
          <w:tcPr>
            <w:tcW w:w="3827" w:type="dxa"/>
          </w:tcPr>
          <w:p w14:paraId="63C26508" w14:textId="5A37389D" w:rsidR="00C46392" w:rsidRDefault="00B90715" w:rsidP="00CC0130">
            <w:pPr>
              <w:jc w:val="center"/>
            </w:pPr>
            <w:r>
              <w:t>40</w:t>
            </w:r>
          </w:p>
        </w:tc>
        <w:tc>
          <w:tcPr>
            <w:tcW w:w="3680" w:type="dxa"/>
          </w:tcPr>
          <w:p w14:paraId="33AAD4AD" w14:textId="6F8691F8" w:rsidR="00C46392" w:rsidRDefault="00B90715" w:rsidP="00CC0130">
            <w:pPr>
              <w:jc w:val="center"/>
            </w:pPr>
            <w:r>
              <w:t>26</w:t>
            </w:r>
          </w:p>
        </w:tc>
      </w:tr>
      <w:tr w:rsidR="00C46392" w14:paraId="16D3DC34" w14:textId="77777777" w:rsidTr="00B90715">
        <w:tc>
          <w:tcPr>
            <w:tcW w:w="1555" w:type="dxa"/>
          </w:tcPr>
          <w:p w14:paraId="11A51D62" w14:textId="77777777" w:rsidR="00C46392" w:rsidRDefault="00C46392" w:rsidP="00CC0130">
            <w:pPr>
              <w:jc w:val="center"/>
            </w:pPr>
            <w:r>
              <w:t>2019</w:t>
            </w:r>
          </w:p>
        </w:tc>
        <w:tc>
          <w:tcPr>
            <w:tcW w:w="3827" w:type="dxa"/>
          </w:tcPr>
          <w:p w14:paraId="06650662" w14:textId="3E63E60A" w:rsidR="00C46392" w:rsidRDefault="00B90715" w:rsidP="00CC0130">
            <w:pPr>
              <w:jc w:val="center"/>
            </w:pPr>
            <w:r>
              <w:t>40</w:t>
            </w:r>
          </w:p>
        </w:tc>
        <w:tc>
          <w:tcPr>
            <w:tcW w:w="3680" w:type="dxa"/>
          </w:tcPr>
          <w:p w14:paraId="6CB27F8B" w14:textId="337C947A" w:rsidR="00C46392" w:rsidRDefault="00B90715" w:rsidP="00CC0130">
            <w:pPr>
              <w:jc w:val="center"/>
            </w:pPr>
            <w:r>
              <w:t>13,3</w:t>
            </w:r>
          </w:p>
        </w:tc>
      </w:tr>
      <w:tr w:rsidR="00C46392" w14:paraId="2355CC7D" w14:textId="77777777" w:rsidTr="00B90715">
        <w:tc>
          <w:tcPr>
            <w:tcW w:w="1555" w:type="dxa"/>
          </w:tcPr>
          <w:p w14:paraId="58B36F29" w14:textId="4134921F" w:rsidR="00C46392" w:rsidRDefault="00C46392" w:rsidP="00CC0130">
            <w:pPr>
              <w:jc w:val="center"/>
            </w:pPr>
            <w:r>
              <w:t>2020</w:t>
            </w:r>
            <w:r w:rsidR="00B90715">
              <w:t xml:space="preserve"> do dnia 16 lipca*</w:t>
            </w:r>
          </w:p>
        </w:tc>
        <w:tc>
          <w:tcPr>
            <w:tcW w:w="3827" w:type="dxa"/>
          </w:tcPr>
          <w:p w14:paraId="76BC618A" w14:textId="564292F4" w:rsidR="00C46392" w:rsidRDefault="00B90715" w:rsidP="00CC0130">
            <w:pPr>
              <w:jc w:val="center"/>
            </w:pPr>
            <w:r>
              <w:t>35</w:t>
            </w:r>
          </w:p>
        </w:tc>
        <w:tc>
          <w:tcPr>
            <w:tcW w:w="3680" w:type="dxa"/>
          </w:tcPr>
          <w:p w14:paraId="33F6EFAF" w14:textId="62ED8DD2" w:rsidR="00C46392" w:rsidRDefault="00B90715" w:rsidP="00CC0130">
            <w:pPr>
              <w:jc w:val="center"/>
            </w:pPr>
            <w:r>
              <w:t>14</w:t>
            </w:r>
          </w:p>
        </w:tc>
      </w:tr>
      <w:tr w:rsidR="00C46392" w14:paraId="0606FBB8" w14:textId="77777777" w:rsidTr="00B90715">
        <w:tc>
          <w:tcPr>
            <w:tcW w:w="1555" w:type="dxa"/>
          </w:tcPr>
          <w:p w14:paraId="2D92AEEE" w14:textId="5BAC2ADB" w:rsidR="00C46392" w:rsidRDefault="00C46392" w:rsidP="00CC0130">
            <w:pPr>
              <w:jc w:val="center"/>
            </w:pPr>
            <w:r>
              <w:t>2021*</w:t>
            </w:r>
            <w:r w:rsidR="00E36BC3">
              <w:t>*</w:t>
            </w:r>
          </w:p>
        </w:tc>
        <w:tc>
          <w:tcPr>
            <w:tcW w:w="3827" w:type="dxa"/>
          </w:tcPr>
          <w:p w14:paraId="6F4D99EE" w14:textId="23F8FCD8" w:rsidR="00C46392" w:rsidRDefault="00B90715" w:rsidP="00CC0130">
            <w:pPr>
              <w:jc w:val="center"/>
            </w:pPr>
            <w:r>
              <w:t>b.d.</w:t>
            </w:r>
          </w:p>
        </w:tc>
        <w:tc>
          <w:tcPr>
            <w:tcW w:w="3680" w:type="dxa"/>
          </w:tcPr>
          <w:p w14:paraId="0F172584" w14:textId="22EB2C98" w:rsidR="00C46392" w:rsidRDefault="00B90715" w:rsidP="00CC0130">
            <w:pPr>
              <w:jc w:val="center"/>
            </w:pPr>
            <w:r>
              <w:t>17,90</w:t>
            </w:r>
          </w:p>
        </w:tc>
      </w:tr>
      <w:tr w:rsidR="00C46392" w14:paraId="320735C7" w14:textId="77777777" w:rsidTr="00B90715">
        <w:tc>
          <w:tcPr>
            <w:tcW w:w="1555" w:type="dxa"/>
            <w:shd w:val="clear" w:color="auto" w:fill="D9E2F3" w:themeFill="accent1" w:themeFillTint="33"/>
          </w:tcPr>
          <w:p w14:paraId="54F36F40" w14:textId="66507B6F" w:rsidR="00C46392" w:rsidRPr="00B90715" w:rsidRDefault="00C46392" w:rsidP="00CC0130">
            <w:pPr>
              <w:jc w:val="center"/>
              <w:rPr>
                <w:b/>
                <w:bCs/>
              </w:rPr>
            </w:pPr>
            <w:r w:rsidRPr="00B90715">
              <w:rPr>
                <w:b/>
                <w:bCs/>
              </w:rPr>
              <w:t>2022</w:t>
            </w:r>
          </w:p>
        </w:tc>
        <w:tc>
          <w:tcPr>
            <w:tcW w:w="3827" w:type="dxa"/>
            <w:shd w:val="clear" w:color="auto" w:fill="D9E2F3" w:themeFill="accent1" w:themeFillTint="33"/>
          </w:tcPr>
          <w:p w14:paraId="19FFC6F0" w14:textId="26D6C0FA" w:rsidR="00C46392" w:rsidRPr="00B90715" w:rsidRDefault="00B90715" w:rsidP="00CC0130">
            <w:pPr>
              <w:jc w:val="center"/>
              <w:rPr>
                <w:b/>
                <w:bCs/>
              </w:rPr>
            </w:pPr>
            <w:r>
              <w:rPr>
                <w:b/>
                <w:bCs/>
              </w:rPr>
              <w:t>b.d</w:t>
            </w:r>
          </w:p>
        </w:tc>
        <w:tc>
          <w:tcPr>
            <w:tcW w:w="3680" w:type="dxa"/>
            <w:shd w:val="clear" w:color="auto" w:fill="D9E2F3" w:themeFill="accent1" w:themeFillTint="33"/>
          </w:tcPr>
          <w:p w14:paraId="047FB31E" w14:textId="1A513902" w:rsidR="00C46392" w:rsidRPr="00B90715" w:rsidRDefault="00B90715" w:rsidP="00CC0130">
            <w:pPr>
              <w:jc w:val="center"/>
              <w:rPr>
                <w:b/>
                <w:bCs/>
              </w:rPr>
            </w:pPr>
            <w:r>
              <w:rPr>
                <w:b/>
                <w:bCs/>
              </w:rPr>
              <w:t>31,</w:t>
            </w:r>
            <w:r w:rsidR="005A5020">
              <w:rPr>
                <w:b/>
                <w:bCs/>
              </w:rPr>
              <w:t>53</w:t>
            </w:r>
          </w:p>
        </w:tc>
      </w:tr>
    </w:tbl>
    <w:p w14:paraId="5C17A33E" w14:textId="77777777" w:rsidR="00E36BC3" w:rsidRPr="00E36BC3" w:rsidRDefault="00E36BC3" w:rsidP="00E36BC3">
      <w:pPr>
        <w:spacing w:line="276" w:lineRule="auto"/>
        <w:jc w:val="both"/>
        <w:rPr>
          <w:rFonts w:eastAsia="Calibri" w:cs="Times New Roman"/>
          <w:sz w:val="20"/>
          <w:szCs w:val="20"/>
        </w:rPr>
      </w:pPr>
      <w:r w:rsidRPr="00E36BC3">
        <w:rPr>
          <w:rFonts w:eastAsia="Calibri" w:cs="Times New Roman"/>
          <w:sz w:val="20"/>
          <w:szCs w:val="20"/>
        </w:rPr>
        <w:t>Źródło: opracowanie własne.</w:t>
      </w:r>
    </w:p>
    <w:p w14:paraId="11DE5A2B" w14:textId="77777777" w:rsidR="00E36BC3" w:rsidRPr="00E36BC3" w:rsidRDefault="00E36BC3" w:rsidP="00E36BC3">
      <w:pPr>
        <w:jc w:val="both"/>
        <w:rPr>
          <w:rFonts w:eastAsia="Times New Roman" w:cs="Times New Roman"/>
          <w:bCs/>
          <w:sz w:val="18"/>
          <w:szCs w:val="18"/>
        </w:rPr>
      </w:pPr>
      <w:r w:rsidRPr="00E36BC3">
        <w:rPr>
          <w:rFonts w:eastAsia="Times New Roman" w:cs="Times New Roman"/>
          <w:bCs/>
          <w:sz w:val="18"/>
          <w:szCs w:val="18"/>
        </w:rPr>
        <w:t>*Zgodnie z Rozporządzeniem Ministra Środowiska z dnia 15 grudnia 2017 r. w sprawie poziomów ograniczenia składowania masy odpadów komunalnych ulegających biodegradacji  (Dz.U. z 2017 r., poz. 2412) w obliczeniach dla roku 2020 należało przyjąć:</w:t>
      </w:r>
    </w:p>
    <w:p w14:paraId="1A35D287" w14:textId="77777777" w:rsidR="00E36BC3" w:rsidRPr="00E36BC3" w:rsidRDefault="00E36BC3" w:rsidP="00E36BC3">
      <w:pPr>
        <w:jc w:val="both"/>
        <w:rPr>
          <w:rFonts w:eastAsia="Calibri" w:cs="Times New Roman"/>
          <w:sz w:val="18"/>
          <w:szCs w:val="18"/>
        </w:rPr>
      </w:pPr>
      <w:r w:rsidRPr="00E36BC3">
        <w:rPr>
          <w:rFonts w:eastAsia="Calibri" w:cs="Times New Roman"/>
          <w:b/>
          <w:sz w:val="18"/>
          <w:szCs w:val="18"/>
        </w:rPr>
        <w:t>M</w:t>
      </w:r>
      <w:r w:rsidRPr="00E36BC3">
        <w:rPr>
          <w:rFonts w:eastAsia="Calibri" w:cs="Times New Roman"/>
          <w:b/>
          <w:sz w:val="18"/>
          <w:szCs w:val="18"/>
          <w:vertAlign w:val="subscript"/>
        </w:rPr>
        <w:t>OUBR</w:t>
      </w:r>
      <w:r w:rsidRPr="00E36BC3">
        <w:rPr>
          <w:rFonts w:eastAsia="Calibri" w:cs="Times New Roman"/>
          <w:b/>
          <w:sz w:val="18"/>
          <w:szCs w:val="18"/>
        </w:rPr>
        <w:t xml:space="preserve"> </w:t>
      </w:r>
      <w:r w:rsidRPr="00E36BC3">
        <w:rPr>
          <w:rFonts w:eastAsia="Calibri" w:cs="Times New Roman"/>
          <w:sz w:val="18"/>
          <w:szCs w:val="18"/>
        </w:rPr>
        <w:t>– masa odpadów ulegających biodegradacji zebranych, odebranych i przetworzonych ze strumienia odpadów komunalnych w danym roku sprawozdawczym, przekazanych do składowania w okresie od dnia 1 stycznia do dnia 30 czerwca 2020 r. [Mg] obliczona zgodnie ze wzorem numer 2;</w:t>
      </w:r>
    </w:p>
    <w:p w14:paraId="1DDA53A5" w14:textId="6320A799" w:rsidR="00E36BC3" w:rsidRPr="00E36BC3" w:rsidRDefault="00E36BC3" w:rsidP="00E36BC3">
      <w:pPr>
        <w:jc w:val="both"/>
        <w:rPr>
          <w:rFonts w:eastAsia="Times New Roman" w:cs="Times New Roman"/>
          <w:bCs/>
          <w:sz w:val="18"/>
          <w:szCs w:val="18"/>
        </w:rPr>
      </w:pPr>
      <w:r w:rsidRPr="00E36BC3">
        <w:rPr>
          <w:rFonts w:eastAsia="Calibri" w:cs="Times New Roman"/>
          <w:bCs/>
          <w:sz w:val="18"/>
          <w:szCs w:val="18"/>
        </w:rPr>
        <w:t>OUB</w:t>
      </w:r>
      <w:r w:rsidRPr="00E36BC3">
        <w:rPr>
          <w:rFonts w:eastAsia="Calibri" w:cs="Times New Roman"/>
          <w:bCs/>
          <w:sz w:val="18"/>
          <w:szCs w:val="18"/>
          <w:vertAlign w:val="subscript"/>
        </w:rPr>
        <w:t xml:space="preserve">1995 </w:t>
      </w:r>
      <w:r w:rsidRPr="00E36BC3">
        <w:rPr>
          <w:rFonts w:eastAsia="Calibri" w:cs="Times New Roman"/>
          <w:bCs/>
          <w:sz w:val="18"/>
          <w:szCs w:val="18"/>
        </w:rPr>
        <w:t>– masa odpadów komunalnych ulegających biodegradacji wytworzonych w 1995 r. obliczona wzorem numer 1</w:t>
      </w:r>
      <w:r>
        <w:rPr>
          <w:rFonts w:eastAsia="Calibri" w:cs="Times New Roman"/>
          <w:bCs/>
          <w:sz w:val="18"/>
          <w:szCs w:val="18"/>
        </w:rPr>
        <w:t> </w:t>
      </w:r>
      <w:r w:rsidRPr="00E36BC3">
        <w:rPr>
          <w:rFonts w:eastAsia="Calibri" w:cs="Times New Roman"/>
          <w:bCs/>
          <w:sz w:val="18"/>
          <w:szCs w:val="18"/>
        </w:rPr>
        <w:t>i przyjęta w połowie wielkości [Mg];</w:t>
      </w:r>
    </w:p>
    <w:p w14:paraId="5BC7A92C" w14:textId="427B44DA" w:rsidR="00E36BC3" w:rsidRPr="00E36BC3" w:rsidRDefault="00E36BC3" w:rsidP="00E36BC3">
      <w:pPr>
        <w:spacing w:after="119"/>
        <w:jc w:val="both"/>
        <w:rPr>
          <w:rFonts w:eastAsia="Times New Roman" w:cs="Times New Roman"/>
          <w:color w:val="000000"/>
          <w:sz w:val="18"/>
          <w:szCs w:val="18"/>
          <w:lang w:eastAsia="pl-PL"/>
        </w:rPr>
      </w:pPr>
      <w:r w:rsidRPr="00E36BC3">
        <w:rPr>
          <w:rFonts w:eastAsia="Times New Roman" w:cs="Times New Roman"/>
          <w:b/>
          <w:bCs/>
          <w:color w:val="000000"/>
          <w:sz w:val="18"/>
          <w:szCs w:val="18"/>
          <w:lang w:eastAsia="pl-PL"/>
        </w:rPr>
        <w:t>**</w:t>
      </w:r>
      <w:r w:rsidRPr="00E36BC3">
        <w:rPr>
          <w:rFonts w:eastAsia="Times New Roman" w:cs="Times New Roman"/>
          <w:color w:val="000000"/>
          <w:sz w:val="18"/>
          <w:szCs w:val="18"/>
          <w:lang w:eastAsia="pl-PL"/>
        </w:rPr>
        <w:t>Do wyliczenia poziomu w roku 2021 i 2022 mają zastosowanie wytyczne Rozporządzenia Ministra Środowiska z</w:t>
      </w:r>
      <w:r>
        <w:rPr>
          <w:rFonts w:eastAsia="Times New Roman" w:cs="Times New Roman"/>
          <w:color w:val="000000"/>
          <w:sz w:val="18"/>
          <w:szCs w:val="18"/>
          <w:lang w:eastAsia="pl-PL"/>
        </w:rPr>
        <w:t xml:space="preserve"> </w:t>
      </w:r>
      <w:r w:rsidRPr="00E36BC3">
        <w:rPr>
          <w:rFonts w:eastAsia="Times New Roman" w:cs="Times New Roman"/>
          <w:color w:val="000000"/>
          <w:sz w:val="18"/>
          <w:szCs w:val="18"/>
          <w:lang w:eastAsia="pl-PL"/>
        </w:rPr>
        <w:t>dnia 15</w:t>
      </w:r>
      <w:r>
        <w:rPr>
          <w:rFonts w:eastAsia="Times New Roman" w:cs="Times New Roman"/>
          <w:color w:val="000000"/>
          <w:sz w:val="18"/>
          <w:szCs w:val="18"/>
          <w:lang w:eastAsia="pl-PL"/>
        </w:rPr>
        <w:t> </w:t>
      </w:r>
      <w:r w:rsidRPr="00E36BC3">
        <w:rPr>
          <w:rFonts w:eastAsia="Times New Roman" w:cs="Times New Roman"/>
          <w:color w:val="000000"/>
          <w:sz w:val="18"/>
          <w:szCs w:val="18"/>
          <w:lang w:eastAsia="pl-PL"/>
        </w:rPr>
        <w:t>grudnia 2017 r. w sprawie poziomów ograniczenia składowania masy odpadów komunalnych ulegających biodegradacji (Dz.U. z 2017 r., poz. 2412).</w:t>
      </w:r>
      <w:r w:rsidR="00B84EE5">
        <w:rPr>
          <w:rFonts w:eastAsia="Times New Roman" w:cs="Times New Roman"/>
          <w:color w:val="000000"/>
          <w:sz w:val="18"/>
          <w:szCs w:val="18"/>
          <w:lang w:eastAsia="pl-PL"/>
        </w:rPr>
        <w:t xml:space="preserve"> Ww. Rozporządzenie nie określa wymaganego poziomu ograniczenia masy odpadów komunalnych ulegających biodegradacji przekazywanych do składowania, w latach 2021-2022.</w:t>
      </w:r>
      <w:r w:rsidR="00BD2C7A">
        <w:rPr>
          <w:rFonts w:eastAsia="Times New Roman" w:cs="Times New Roman"/>
          <w:color w:val="000000"/>
          <w:sz w:val="18"/>
          <w:szCs w:val="18"/>
          <w:lang w:eastAsia="pl-PL"/>
        </w:rPr>
        <w:t>87</w:t>
      </w:r>
    </w:p>
    <w:p w14:paraId="534FA0E6" w14:textId="77777777" w:rsidR="00C46392" w:rsidRDefault="00C46392"/>
    <w:sectPr w:rsidR="00C46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A8"/>
    <w:rsid w:val="00445B39"/>
    <w:rsid w:val="005555D0"/>
    <w:rsid w:val="005660EB"/>
    <w:rsid w:val="005A5020"/>
    <w:rsid w:val="005F68D6"/>
    <w:rsid w:val="007A5DA8"/>
    <w:rsid w:val="00B84EE5"/>
    <w:rsid w:val="00B90715"/>
    <w:rsid w:val="00BD2C7A"/>
    <w:rsid w:val="00C46392"/>
    <w:rsid w:val="00E33DE2"/>
    <w:rsid w:val="00E36BC3"/>
    <w:rsid w:val="00E45783"/>
    <w:rsid w:val="00F801C2"/>
    <w:rsid w:val="00FD33EB"/>
    <w:rsid w:val="00FF3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7BB4"/>
  <w15:chartTrackingRefBased/>
  <w15:docId w15:val="{E0C0B533-4562-4AD4-8444-5C3FCBE1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Caption Char"/>
    <w:basedOn w:val="Normalny"/>
    <w:next w:val="Normalny"/>
    <w:link w:val="LegendaZnak"/>
    <w:uiPriority w:val="35"/>
    <w:unhideWhenUsed/>
    <w:qFormat/>
    <w:rsid w:val="00FD33EB"/>
    <w:rPr>
      <w:rFonts w:eastAsia="Calibri" w:cs="Times New Roman"/>
      <w:b/>
      <w:bCs/>
      <w:sz w:val="20"/>
      <w:szCs w:val="20"/>
      <w:lang w:val="x-none"/>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Caption Char Znak"/>
    <w:link w:val="Legenda"/>
    <w:uiPriority w:val="35"/>
    <w:locked/>
    <w:rsid w:val="00FD33EB"/>
    <w:rPr>
      <w:rFonts w:eastAsia="Calibri" w:cs="Times New Roman"/>
      <w:b/>
      <w:bCs/>
      <w:sz w:val="20"/>
      <w:szCs w:val="20"/>
      <w:lang w:val="x-none"/>
    </w:rPr>
  </w:style>
  <w:style w:type="table" w:styleId="Tabela-Siatka">
    <w:name w:val="Table Grid"/>
    <w:basedOn w:val="Standardowy"/>
    <w:uiPriority w:val="39"/>
    <w:rsid w:val="00FD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642</Words>
  <Characters>3854</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dc:creator>
  <cp:keywords/>
  <dc:description/>
  <cp:lastModifiedBy>UM</cp:lastModifiedBy>
  <cp:revision>12</cp:revision>
  <cp:lastPrinted>2023-04-11T07:56:00Z</cp:lastPrinted>
  <dcterms:created xsi:type="dcterms:W3CDTF">2023-03-30T09:21:00Z</dcterms:created>
  <dcterms:modified xsi:type="dcterms:W3CDTF">2023-08-28T14:57:00Z</dcterms:modified>
</cp:coreProperties>
</file>